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8A35" w14:textId="2F539286" w:rsidR="00592268" w:rsidRPr="00A874A1" w:rsidRDefault="00592268" w:rsidP="00592268">
      <w:pPr>
        <w:pStyle w:val="Titre"/>
        <w:rPr>
          <w:lang w:val="gl-ES"/>
        </w:rPr>
      </w:pPr>
      <w:bookmarkStart w:id="0" w:name="_GoBack"/>
      <w:r w:rsidRPr="00A874A1">
        <w:rPr>
          <w:lang w:val="gl-ES"/>
        </w:rPr>
        <w:t>La restructuration des entreprises en difficultés en droit français</w:t>
      </w:r>
    </w:p>
    <w:bookmarkEnd w:id="0"/>
    <w:p w14:paraId="119D8564" w14:textId="35F987E4" w:rsidR="008508B6" w:rsidRPr="00110DE8" w:rsidRDefault="00597717" w:rsidP="00E24CEB">
      <w:pPr>
        <w:pBdr>
          <w:bottom w:val="single" w:sz="4" w:space="1" w:color="auto"/>
        </w:pBdr>
        <w:rPr>
          <w:lang w:val="fr-FR"/>
        </w:rPr>
      </w:pPr>
      <w:r w:rsidRPr="00110DE8">
        <w:rPr>
          <w:lang w:val="fr-FR"/>
        </w:rPr>
        <w:t>par</w:t>
      </w:r>
      <w:r w:rsidR="00983A0E" w:rsidRPr="00110DE8">
        <w:rPr>
          <w:lang w:val="fr-FR"/>
        </w:rPr>
        <w:t xml:space="preserve"> </w:t>
      </w:r>
      <w:r w:rsidR="009E22BE" w:rsidRPr="00110DE8">
        <w:rPr>
          <w:b/>
          <w:lang w:val="fr-FR"/>
        </w:rPr>
        <w:t>Archibald GABRIEL</w:t>
      </w:r>
      <w:r w:rsidR="00983A0E" w:rsidRPr="00110DE8">
        <w:rPr>
          <w:lang w:val="fr-FR"/>
        </w:rPr>
        <w:t>,</w:t>
      </w:r>
      <w:r w:rsidR="00644D9E" w:rsidRPr="00110DE8">
        <w:rPr>
          <w:lang w:val="fr-FR"/>
        </w:rPr>
        <w:t xml:space="preserve"> </w:t>
      </w:r>
      <w:r w:rsidR="00991A5F" w:rsidRPr="00110DE8">
        <w:rPr>
          <w:lang w:val="fr-FR"/>
        </w:rPr>
        <w:t>doctorant</w:t>
      </w:r>
      <w:r w:rsidR="00FC139C" w:rsidRPr="00110DE8">
        <w:rPr>
          <w:lang w:val="fr-FR"/>
        </w:rPr>
        <w:t xml:space="preserve"> en droit à l’Univer</w:t>
      </w:r>
      <w:r w:rsidR="00E24CEB" w:rsidRPr="00110DE8">
        <w:rPr>
          <w:lang w:val="fr-FR"/>
        </w:rPr>
        <w:t>sité Paris 1 Panthéon-Sorbonne.</w:t>
      </w:r>
    </w:p>
    <w:p w14:paraId="4280E53B" w14:textId="77777777" w:rsidR="008C6603" w:rsidRPr="00110DE8" w:rsidRDefault="008C6603" w:rsidP="00B33FE1">
      <w:pPr>
        <w:rPr>
          <w:rFonts w:eastAsia="Times New Roman"/>
          <w:color w:val="231F20"/>
          <w:lang w:val="fr-FR"/>
        </w:rPr>
      </w:pPr>
    </w:p>
    <w:p w14:paraId="7D39D20E" w14:textId="0337BC53" w:rsidR="00991A5F" w:rsidRPr="00110DE8" w:rsidRDefault="00876098" w:rsidP="00876098">
      <w:pPr>
        <w:tabs>
          <w:tab w:val="left" w:pos="3538"/>
        </w:tabs>
        <w:rPr>
          <w:rFonts w:eastAsia="Times New Roman"/>
          <w:color w:val="231F20"/>
          <w:lang w:val="fr-FR"/>
        </w:rPr>
      </w:pPr>
      <w:r>
        <w:rPr>
          <w:rFonts w:eastAsia="Times New Roman"/>
          <w:color w:val="231F20"/>
          <w:lang w:val="fr-FR"/>
        </w:rPr>
        <w:tab/>
      </w:r>
    </w:p>
    <w:p w14:paraId="4B4A92E2" w14:textId="1C5F0CAA" w:rsidR="0065047A" w:rsidRPr="00110DE8" w:rsidRDefault="0065047A" w:rsidP="00110DE8">
      <w:pPr>
        <w:keepNext/>
        <w:framePr w:dropCap="drop" w:lines="3" w:wrap="around" w:vAnchor="text" w:hAnchor="text"/>
        <w:spacing w:line="810" w:lineRule="exact"/>
        <w:textAlignment w:val="baseline"/>
        <w:rPr>
          <w:rFonts w:eastAsia="Times New Roman"/>
          <w:color w:val="231F20"/>
          <w:position w:val="-9"/>
          <w:sz w:val="112"/>
          <w:szCs w:val="112"/>
          <w:lang w:val="fr-FR"/>
        </w:rPr>
      </w:pPr>
      <w:r w:rsidRPr="00110DE8">
        <w:rPr>
          <w:rFonts w:eastAsia="Times New Roman"/>
          <w:color w:val="231F20"/>
          <w:position w:val="-9"/>
          <w:sz w:val="112"/>
          <w:szCs w:val="112"/>
          <w:lang w:val="fr-FR"/>
        </w:rPr>
        <w:t>P</w:t>
      </w:r>
    </w:p>
    <w:p w14:paraId="0049D60B" w14:textId="44E169AB" w:rsidR="000C4857" w:rsidRDefault="008C6603" w:rsidP="000C4857">
      <w:pPr>
        <w:rPr>
          <w:rFonts w:cs="Arial"/>
          <w:lang w:val="fr-FR"/>
        </w:rPr>
      </w:pPr>
      <w:r w:rsidRPr="00110DE8">
        <w:rPr>
          <w:rFonts w:eastAsia="Times New Roman"/>
          <w:color w:val="231F20"/>
          <w:lang w:val="fr-FR"/>
        </w:rPr>
        <w:t xml:space="preserve">ar </w:t>
      </w:r>
      <w:r w:rsidRPr="00110DE8">
        <w:rPr>
          <w:rFonts w:cs="Arial"/>
          <w:lang w:val="fr-FR"/>
        </w:rPr>
        <w:t xml:space="preserve">définition le débiteur, dans le cadre d’une procédure collective, ne part pas d’une « page blanche ». Il doit composer avec ses créanciers historiques. </w:t>
      </w:r>
      <w:r w:rsidR="00665F3F">
        <w:rPr>
          <w:rFonts w:cs="Arial"/>
          <w:lang w:val="fr-FR"/>
        </w:rPr>
        <w:t>L</w:t>
      </w:r>
      <w:r w:rsidRPr="00110DE8">
        <w:rPr>
          <w:rFonts w:cs="Arial"/>
          <w:lang w:val="fr-FR"/>
        </w:rPr>
        <w:t>e débiteur doit tenir compte</w:t>
      </w:r>
      <w:r w:rsidRPr="0015333F">
        <w:rPr>
          <w:rFonts w:cs="Arial"/>
          <w:lang w:val="fr-FR"/>
        </w:rPr>
        <w:t xml:space="preserve"> des créanciers préexistants et de leurs spécificités (par exemple leur nature obligataire). Les créanciers issus des financements structurés présentent certaines spécificités, notamment la complexité des montages dans lequel ils s’intègrent</w:t>
      </w:r>
      <w:r w:rsidR="00665F3F">
        <w:rPr>
          <w:rStyle w:val="Marquenotebasdepage"/>
          <w:rFonts w:cs="Arial"/>
          <w:lang w:val="fr-FR"/>
        </w:rPr>
        <w:footnoteReference w:id="1"/>
      </w:r>
      <w:r w:rsidRPr="0015333F">
        <w:rPr>
          <w:rFonts w:cs="Arial"/>
          <w:lang w:val="fr-FR"/>
        </w:rPr>
        <w:t xml:space="preserve">. On retrouve notamment de nombreuses structures dont l’appellation barbare révèle l’origine </w:t>
      </w:r>
      <w:proofErr w:type="spellStart"/>
      <w:r w:rsidRPr="0015333F">
        <w:rPr>
          <w:rFonts w:cs="Arial"/>
          <w:lang w:val="fr-FR"/>
        </w:rPr>
        <w:t>anglo</w:t>
      </w:r>
      <w:proofErr w:type="spellEnd"/>
      <w:r w:rsidRPr="0015333F">
        <w:rPr>
          <w:rFonts w:cs="Arial"/>
          <w:lang w:val="fr-FR"/>
        </w:rPr>
        <w:t xml:space="preserve"> </w:t>
      </w:r>
      <w:proofErr w:type="spellStart"/>
      <w:r w:rsidRPr="0015333F">
        <w:rPr>
          <w:rFonts w:cs="Arial"/>
          <w:lang w:val="fr-FR"/>
        </w:rPr>
        <w:t>saxone</w:t>
      </w:r>
      <w:proofErr w:type="spellEnd"/>
      <w:r w:rsidRPr="0015333F">
        <w:rPr>
          <w:rFonts w:cs="Arial"/>
          <w:lang w:val="fr-FR"/>
        </w:rPr>
        <w:t xml:space="preserve"> (</w:t>
      </w:r>
      <w:r w:rsidRPr="0015333F">
        <w:rPr>
          <w:rFonts w:cs="Arial"/>
          <w:i/>
          <w:lang w:val="fr-FR"/>
        </w:rPr>
        <w:t>LBO</w:t>
      </w:r>
      <w:r w:rsidRPr="0015333F">
        <w:rPr>
          <w:rFonts w:cs="Arial"/>
          <w:lang w:val="fr-FR"/>
        </w:rPr>
        <w:t xml:space="preserve"> : </w:t>
      </w:r>
      <w:proofErr w:type="spellStart"/>
      <w:r w:rsidRPr="00E053DE">
        <w:rPr>
          <w:rFonts w:cs="Arial"/>
          <w:i/>
          <w:lang w:val="fr-FR"/>
        </w:rPr>
        <w:t>Leverage</w:t>
      </w:r>
      <w:proofErr w:type="spellEnd"/>
      <w:r w:rsidRPr="00E053DE">
        <w:rPr>
          <w:rFonts w:cs="Arial"/>
          <w:i/>
          <w:lang w:val="fr-FR"/>
        </w:rPr>
        <w:t xml:space="preserve"> </w:t>
      </w:r>
      <w:proofErr w:type="spellStart"/>
      <w:r w:rsidRPr="00E053DE">
        <w:rPr>
          <w:rFonts w:cs="Arial"/>
          <w:i/>
          <w:lang w:val="fr-FR"/>
        </w:rPr>
        <w:t>Buy</w:t>
      </w:r>
      <w:proofErr w:type="spellEnd"/>
      <w:r w:rsidRPr="00E053DE">
        <w:rPr>
          <w:rFonts w:cs="Arial"/>
          <w:i/>
          <w:lang w:val="fr-FR"/>
        </w:rPr>
        <w:t xml:space="preserve"> Out</w:t>
      </w:r>
      <w:r w:rsidRPr="0015333F">
        <w:rPr>
          <w:rFonts w:cs="Arial"/>
          <w:lang w:val="fr-FR"/>
        </w:rPr>
        <w:t xml:space="preserve">, financement </w:t>
      </w:r>
      <w:r w:rsidRPr="0015333F">
        <w:rPr>
          <w:rFonts w:cs="Arial"/>
          <w:i/>
          <w:lang w:val="fr-FR"/>
        </w:rPr>
        <w:t>BOT</w:t>
      </w:r>
      <w:r w:rsidR="00A874A1">
        <w:rPr>
          <w:rFonts w:cs="Arial"/>
          <w:lang w:val="fr-FR"/>
        </w:rPr>
        <w:t xml:space="preserve"> : </w:t>
      </w:r>
      <w:proofErr w:type="spellStart"/>
      <w:r w:rsidR="00FC13C1">
        <w:rPr>
          <w:rFonts w:cs="Arial"/>
          <w:i/>
          <w:lang w:val="fr-FR"/>
        </w:rPr>
        <w:t>Buy</w:t>
      </w:r>
      <w:proofErr w:type="spellEnd"/>
      <w:r w:rsidR="00FC13C1">
        <w:rPr>
          <w:rFonts w:cs="Arial"/>
          <w:i/>
          <w:lang w:val="fr-FR"/>
        </w:rPr>
        <w:t xml:space="preserve"> </w:t>
      </w:r>
      <w:proofErr w:type="spellStart"/>
      <w:r w:rsidR="00FC13C1">
        <w:rPr>
          <w:rFonts w:cs="Arial"/>
          <w:i/>
          <w:lang w:val="fr-FR"/>
        </w:rPr>
        <w:t>Ope</w:t>
      </w:r>
      <w:r w:rsidR="00A874A1" w:rsidRPr="00A874A1">
        <w:rPr>
          <w:rFonts w:cs="Arial"/>
          <w:i/>
          <w:lang w:val="fr-FR"/>
        </w:rPr>
        <w:t>rate</w:t>
      </w:r>
      <w:proofErr w:type="spellEnd"/>
      <w:r w:rsidR="00A874A1" w:rsidRPr="00A874A1">
        <w:rPr>
          <w:rFonts w:cs="Arial"/>
          <w:i/>
          <w:lang w:val="fr-FR"/>
        </w:rPr>
        <w:t xml:space="preserve"> Transfert</w:t>
      </w:r>
      <w:r w:rsidRPr="0015333F">
        <w:rPr>
          <w:rFonts w:cs="Arial"/>
          <w:lang w:val="fr-FR"/>
        </w:rPr>
        <w:t>). La question du traitement des créanciers issus des financements est complexe car ces créanciers</w:t>
      </w:r>
      <w:r w:rsidR="00B33FE1" w:rsidRPr="0015333F">
        <w:rPr>
          <w:rFonts w:cs="Arial"/>
          <w:lang w:val="fr-FR"/>
        </w:rPr>
        <w:t> </w:t>
      </w:r>
      <w:r w:rsidRPr="0015333F">
        <w:rPr>
          <w:rFonts w:cs="Arial"/>
          <w:lang w:val="fr-FR"/>
        </w:rPr>
        <w:t xml:space="preserve">:  </w:t>
      </w:r>
    </w:p>
    <w:p w14:paraId="722FF096" w14:textId="77777777" w:rsidR="00110DE8" w:rsidRDefault="00110DE8" w:rsidP="00110DE8">
      <w:pPr>
        <w:rPr>
          <w:rFonts w:cs="Arial"/>
          <w:lang w:val="fr-FR"/>
        </w:rPr>
      </w:pPr>
      <w:r>
        <w:rPr>
          <w:rFonts w:cs="Arial"/>
          <w:lang w:val="fr-FR"/>
        </w:rPr>
        <w:t xml:space="preserve">– </w:t>
      </w:r>
      <w:r w:rsidR="008C6603" w:rsidRPr="00110DE8">
        <w:rPr>
          <w:rFonts w:cs="Arial"/>
          <w:lang w:val="fr-FR"/>
        </w:rPr>
        <w:t xml:space="preserve">représentent </w:t>
      </w:r>
      <w:r w:rsidR="008C6603" w:rsidRPr="00E053DE">
        <w:rPr>
          <w:rFonts w:cs="Arial"/>
          <w:lang w:val="fr-FR"/>
        </w:rPr>
        <w:t xml:space="preserve">une </w:t>
      </w:r>
      <w:r w:rsidR="008C6603" w:rsidRPr="00110DE8">
        <w:rPr>
          <w:rFonts w:cs="Arial"/>
          <w:lang w:val="fr-FR"/>
        </w:rPr>
        <w:t>part importante de l’endettement dans les grandes restructurations (dans les financements structurés la dette financière représente souvent la majorité du passif devançant largement le passif social ou le passif fournisseur) ;</w:t>
      </w:r>
    </w:p>
    <w:p w14:paraId="1A4BC8FE" w14:textId="7B142C25" w:rsidR="008C6603" w:rsidRPr="00110DE8" w:rsidRDefault="00110DE8" w:rsidP="00110DE8">
      <w:pPr>
        <w:rPr>
          <w:rFonts w:cs="Arial"/>
          <w:lang w:val="fr-FR"/>
        </w:rPr>
      </w:pPr>
      <w:r>
        <w:rPr>
          <w:rFonts w:cs="Arial"/>
          <w:lang w:val="fr-FR"/>
        </w:rPr>
        <w:t xml:space="preserve">– </w:t>
      </w:r>
      <w:r w:rsidR="008C6603" w:rsidRPr="00110DE8">
        <w:rPr>
          <w:rFonts w:cs="Arial"/>
          <w:lang w:val="fr-FR"/>
        </w:rPr>
        <w:t>ont souvent anticipé la faillite dans la structuration de leurs montages. Comme le souligne le professeur MOULIN « à l</w:t>
      </w:r>
      <w:r w:rsidR="00B33FE1" w:rsidRPr="00110DE8">
        <w:rPr>
          <w:rFonts w:cs="Arial"/>
          <w:lang w:val="fr-FR"/>
        </w:rPr>
        <w:t>’</w:t>
      </w:r>
      <w:r w:rsidR="008C6603" w:rsidRPr="00110DE8">
        <w:rPr>
          <w:rFonts w:cs="Arial"/>
          <w:lang w:val="fr-FR"/>
        </w:rPr>
        <w:t>instar d</w:t>
      </w:r>
      <w:r w:rsidR="00B33FE1" w:rsidRPr="00110DE8">
        <w:rPr>
          <w:rFonts w:cs="Arial"/>
          <w:lang w:val="fr-FR"/>
        </w:rPr>
        <w:t>’</w:t>
      </w:r>
      <w:r w:rsidR="008C6603" w:rsidRPr="00110DE8">
        <w:rPr>
          <w:rFonts w:cs="Arial"/>
          <w:lang w:val="fr-FR"/>
        </w:rPr>
        <w:t>un immeuble subissant un séisme ou les outrages du temps, un montage juridique ne vaut rien s</w:t>
      </w:r>
      <w:r w:rsidR="00B33FE1" w:rsidRPr="00110DE8">
        <w:rPr>
          <w:rFonts w:cs="Arial"/>
          <w:lang w:val="fr-FR"/>
        </w:rPr>
        <w:t>’</w:t>
      </w:r>
      <w:r w:rsidR="008C6603" w:rsidRPr="00110DE8">
        <w:rPr>
          <w:rFonts w:cs="Arial"/>
          <w:lang w:val="fr-FR"/>
        </w:rPr>
        <w:t>il ne sait résister (…) au temps qui passe inexorablement et aux crises (…) le droit des procédures collectives revêt dans cette perspective le masque de l</w:t>
      </w:r>
      <w:r w:rsidR="00B33FE1" w:rsidRPr="00110DE8">
        <w:rPr>
          <w:rFonts w:cs="Arial"/>
          <w:lang w:val="fr-FR"/>
        </w:rPr>
        <w:t>’</w:t>
      </w:r>
      <w:r w:rsidR="008C6603" w:rsidRPr="00110DE8">
        <w:rPr>
          <w:rFonts w:cs="Arial"/>
          <w:lang w:val="fr-FR"/>
        </w:rPr>
        <w:t>épreuve sismique »</w:t>
      </w:r>
      <w:r w:rsidR="008C6603" w:rsidRPr="0015333F">
        <w:rPr>
          <w:vertAlign w:val="superscript"/>
          <w:lang w:val="fr-FR"/>
        </w:rPr>
        <w:footnoteReference w:id="2"/>
      </w:r>
      <w:r w:rsidR="008C6603" w:rsidRPr="00110DE8">
        <w:rPr>
          <w:rFonts w:cs="Arial"/>
          <w:lang w:val="fr-FR"/>
        </w:rPr>
        <w:t>.</w:t>
      </w:r>
    </w:p>
    <w:p w14:paraId="4313A360" w14:textId="6821AA82" w:rsidR="006E4970" w:rsidRDefault="008C6603" w:rsidP="00B33FE1">
      <w:pPr>
        <w:pStyle w:val="Paragraphedeliste"/>
        <w:ind w:left="0"/>
        <w:rPr>
          <w:rFonts w:cs="Arial"/>
          <w:lang w:val="fr-FR"/>
        </w:rPr>
      </w:pPr>
      <w:r w:rsidRPr="0015333F">
        <w:rPr>
          <w:rFonts w:cs="Arial"/>
          <w:lang w:val="fr-FR"/>
        </w:rPr>
        <w:t>L’idée est, dans un premier temps, de présenter rapidement la notion de financements structurés et les réponses qu’a apporté</w:t>
      </w:r>
      <w:r w:rsidR="00B33FE1" w:rsidRPr="0015333F">
        <w:rPr>
          <w:rFonts w:cs="Arial"/>
          <w:lang w:val="fr-FR"/>
        </w:rPr>
        <w:t>es</w:t>
      </w:r>
      <w:r w:rsidR="000C4857">
        <w:rPr>
          <w:rFonts w:cs="Arial"/>
          <w:lang w:val="fr-FR"/>
        </w:rPr>
        <w:t xml:space="preserve"> le </w:t>
      </w:r>
      <w:r w:rsidRPr="0015333F">
        <w:rPr>
          <w:rFonts w:cs="Arial"/>
          <w:lang w:val="fr-FR"/>
        </w:rPr>
        <w:t>législateur français au fil du temps (</w:t>
      </w:r>
      <w:r w:rsidR="005E6614">
        <w:rPr>
          <w:rFonts w:cs="Arial"/>
          <w:lang w:val="fr-FR"/>
        </w:rPr>
        <w:t>§ 1</w:t>
      </w:r>
      <w:r w:rsidRPr="0015333F">
        <w:rPr>
          <w:rFonts w:cs="Arial"/>
          <w:lang w:val="fr-FR"/>
        </w:rPr>
        <w:t>). Par ailleurs, dans un second temps, nous étudierons deux cas de montages pour lesquels les réponses sont plus limitées (</w:t>
      </w:r>
      <w:r w:rsidR="005E6614">
        <w:rPr>
          <w:rFonts w:cs="Arial"/>
          <w:lang w:val="fr-FR"/>
        </w:rPr>
        <w:t xml:space="preserve">§ </w:t>
      </w:r>
      <w:r w:rsidRPr="0015333F">
        <w:rPr>
          <w:rFonts w:cs="Arial"/>
          <w:lang w:val="fr-FR"/>
        </w:rPr>
        <w:t>2).</w:t>
      </w:r>
    </w:p>
    <w:p w14:paraId="10367034" w14:textId="52222B06" w:rsidR="008C6603" w:rsidRPr="0015333F" w:rsidRDefault="008C6603" w:rsidP="00B33FE1">
      <w:pPr>
        <w:pStyle w:val="Titre1"/>
        <w:jc w:val="both"/>
        <w:rPr>
          <w:lang w:val="eu-ES"/>
        </w:rPr>
      </w:pPr>
      <w:r w:rsidRPr="0015333F">
        <w:rPr>
          <w:spacing w:val="0"/>
          <w:lang w:val="fr-FR"/>
        </w:rPr>
        <w:t>§ 1 –</w:t>
      </w:r>
      <w:r w:rsidRPr="0015333F">
        <w:rPr>
          <w:spacing w:val="0"/>
          <w:lang w:val="eu-ES"/>
        </w:rPr>
        <w:t xml:space="preserve"> </w:t>
      </w:r>
      <w:r w:rsidR="00B33FE1" w:rsidRPr="0015333F">
        <w:rPr>
          <w:lang w:val="eu-ES"/>
        </w:rPr>
        <w:t>L</w:t>
      </w:r>
      <w:r w:rsidRPr="0015333F">
        <w:rPr>
          <w:lang w:val="eu-ES"/>
        </w:rPr>
        <w:t xml:space="preserve">es solutions proposées par le législateur face aux financements structurés </w:t>
      </w:r>
    </w:p>
    <w:p w14:paraId="46ADD8B4" w14:textId="5D578711" w:rsidR="008C6603" w:rsidRPr="0015333F" w:rsidRDefault="008C6603" w:rsidP="00B33FE1">
      <w:pPr>
        <w:pStyle w:val="Titre2"/>
        <w:rPr>
          <w:lang w:val="eu-ES"/>
        </w:rPr>
      </w:pPr>
      <w:r w:rsidRPr="0015333F">
        <w:rPr>
          <w:lang w:val="eu-ES"/>
        </w:rPr>
        <w:t>Une rapide présentation des financements structurés</w:t>
      </w:r>
      <w:r w:rsidR="00B33FE1" w:rsidRPr="0015333F">
        <w:rPr>
          <w:lang w:val="eu-ES"/>
        </w:rPr>
        <w:t> </w:t>
      </w:r>
      <w:r w:rsidRPr="0015333F">
        <w:rPr>
          <w:lang w:val="eu-ES"/>
        </w:rPr>
        <w:t>: un instrument de neutralisation de la procédure collective</w:t>
      </w:r>
    </w:p>
    <w:p w14:paraId="165F5054" w14:textId="5BDCA4BA" w:rsidR="008C6603" w:rsidRPr="0015333F" w:rsidRDefault="008C6603" w:rsidP="002B647C">
      <w:pPr>
        <w:rPr>
          <w:rFonts w:cs="Arial"/>
          <w:lang w:val="fr-FR"/>
        </w:rPr>
      </w:pPr>
      <w:r w:rsidRPr="0015333F">
        <w:rPr>
          <w:rFonts w:cs="Arial"/>
          <w:lang w:val="fr-FR"/>
        </w:rPr>
        <w:t>Les financements structurés sont un phénomène ancien et répandu. Le symbole de la France</w:t>
      </w:r>
      <w:r w:rsidR="00B33FE1" w:rsidRPr="0015333F">
        <w:rPr>
          <w:rFonts w:cs="Arial"/>
          <w:lang w:val="fr-FR"/>
        </w:rPr>
        <w:t> </w:t>
      </w:r>
      <w:r w:rsidRPr="0015333F">
        <w:rPr>
          <w:rFonts w:cs="Arial"/>
          <w:lang w:val="fr-FR"/>
        </w:rPr>
        <w:t xml:space="preserve">: la tour Eiffel est le fruit d’un </w:t>
      </w:r>
      <w:r w:rsidRPr="0015333F">
        <w:rPr>
          <w:rFonts w:cs="Arial"/>
          <w:lang w:val="fr-FR"/>
        </w:rPr>
        <w:lastRenderedPageBreak/>
        <w:t xml:space="preserve">montage relativement innovant financièrement pour la période. On retrouve dans ce montage les grands traits du financement de projet moderne. En premier lieu, le projet est isolé du reste de la société Eiffel dans une société ad hoc appelée la société de la tour Eiffel (STE) chargée de conserver l’actif pendant la période de la construction. Avant que la tour Eiffel ne soit transférée dans une autre entité en charge de la concession. </w:t>
      </w:r>
    </w:p>
    <w:p w14:paraId="61995F4F" w14:textId="77777777" w:rsidR="008C6603" w:rsidRPr="0015333F" w:rsidRDefault="008C6603" w:rsidP="002B647C">
      <w:pPr>
        <w:rPr>
          <w:rFonts w:cs="Arial"/>
          <w:lang w:val="fr-FR"/>
        </w:rPr>
      </w:pPr>
      <w:r w:rsidRPr="0015333F">
        <w:rPr>
          <w:rFonts w:cs="Arial"/>
          <w:lang w:val="fr-FR"/>
        </w:rPr>
        <w:t>Par ailleurs, le risque est reparti entre les entités les plus aptes à supporter le risque dans le cadre d’un partenariat public-privé. Ainsi l’ensemble des risques du chantier sera supporté par la société en charge de la construction du projet.</w:t>
      </w:r>
    </w:p>
    <w:p w14:paraId="53EA4DC3" w14:textId="5A59C6DD" w:rsidR="008C6603" w:rsidRPr="0015333F" w:rsidRDefault="008C6603" w:rsidP="002B647C">
      <w:pPr>
        <w:rPr>
          <w:rFonts w:cs="Arial"/>
          <w:lang w:val="fr-FR"/>
        </w:rPr>
      </w:pPr>
      <w:r w:rsidRPr="0015333F">
        <w:rPr>
          <w:rFonts w:cs="Arial"/>
          <w:lang w:val="fr-FR"/>
        </w:rPr>
        <w:t>Enfin la subvention versée par l’</w:t>
      </w:r>
      <w:r w:rsidR="00B33FE1" w:rsidRPr="0015333F">
        <w:rPr>
          <w:rFonts w:cs="Arial"/>
          <w:lang w:val="fr-FR"/>
        </w:rPr>
        <w:t>É</w:t>
      </w:r>
      <w:r w:rsidRPr="0015333F">
        <w:rPr>
          <w:rFonts w:cs="Arial"/>
          <w:lang w:val="fr-FR"/>
        </w:rPr>
        <w:t>tat ne permet de financer qu’une part minoritaire du projet. C’est donc via la dette que le projet sera financé. L’endettement important du projet (entre 80</w:t>
      </w:r>
      <w:r w:rsidR="00B33FE1" w:rsidRPr="0015333F">
        <w:rPr>
          <w:rFonts w:cs="Arial"/>
          <w:lang w:val="fr-FR"/>
        </w:rPr>
        <w:t> </w:t>
      </w:r>
      <w:r w:rsidRPr="0015333F">
        <w:rPr>
          <w:rFonts w:cs="Arial"/>
          <w:lang w:val="fr-FR"/>
        </w:rPr>
        <w:t>% et 90</w:t>
      </w:r>
      <w:r w:rsidR="00B33FE1" w:rsidRPr="0015333F">
        <w:rPr>
          <w:rFonts w:cs="Arial"/>
          <w:lang w:val="fr-FR"/>
        </w:rPr>
        <w:t> </w:t>
      </w:r>
      <w:r w:rsidRPr="0015333F">
        <w:rPr>
          <w:rFonts w:cs="Arial"/>
          <w:lang w:val="fr-FR"/>
        </w:rPr>
        <w:t>% du projet) est remboursé par la trésorerie issue du projet durant la période de la concession (notamment la vente, pendant vingt ans des billets d</w:t>
      </w:r>
      <w:r w:rsidR="00B33FE1" w:rsidRPr="0015333F">
        <w:rPr>
          <w:rFonts w:cs="Arial"/>
          <w:lang w:val="fr-FR"/>
        </w:rPr>
        <w:t>’</w:t>
      </w:r>
      <w:r w:rsidRPr="0015333F">
        <w:rPr>
          <w:rFonts w:cs="Arial"/>
          <w:lang w:val="fr-FR"/>
        </w:rPr>
        <w:t xml:space="preserve">ascension au monument). Dans le cadre d’un schéma classique de </w:t>
      </w:r>
      <w:r w:rsidRPr="00E053DE">
        <w:rPr>
          <w:rFonts w:cs="Arial"/>
          <w:i/>
          <w:lang w:val="fr-FR"/>
        </w:rPr>
        <w:t>BOT (</w:t>
      </w:r>
      <w:proofErr w:type="spellStart"/>
      <w:r w:rsidRPr="00E053DE">
        <w:rPr>
          <w:rFonts w:cs="Arial"/>
          <w:i/>
          <w:lang w:val="fr-FR"/>
        </w:rPr>
        <w:t>Buy</w:t>
      </w:r>
      <w:proofErr w:type="spellEnd"/>
      <w:r w:rsidRPr="00E053DE">
        <w:rPr>
          <w:rFonts w:cs="Arial"/>
          <w:i/>
          <w:lang w:val="fr-FR"/>
        </w:rPr>
        <w:t xml:space="preserve">, </w:t>
      </w:r>
      <w:proofErr w:type="spellStart"/>
      <w:r w:rsidRPr="00E053DE">
        <w:rPr>
          <w:rFonts w:cs="Arial"/>
          <w:i/>
          <w:lang w:val="fr-FR"/>
        </w:rPr>
        <w:t>Operate</w:t>
      </w:r>
      <w:proofErr w:type="spellEnd"/>
      <w:r w:rsidRPr="00E053DE">
        <w:rPr>
          <w:rFonts w:cs="Arial"/>
          <w:i/>
          <w:lang w:val="fr-FR"/>
        </w:rPr>
        <w:t xml:space="preserve"> Transfert</w:t>
      </w:r>
      <w:r w:rsidRPr="0015333F">
        <w:rPr>
          <w:rFonts w:cs="Arial"/>
          <w:lang w:val="fr-FR"/>
        </w:rPr>
        <w:t xml:space="preserve">), la Ville de Paris a récupéré le monument à la fin de la concession.   </w:t>
      </w:r>
    </w:p>
    <w:p w14:paraId="5EB6198A" w14:textId="77777777" w:rsidR="008C6603" w:rsidRPr="0015333F" w:rsidRDefault="008C6603" w:rsidP="002B647C">
      <w:pPr>
        <w:rPr>
          <w:rFonts w:cs="Arial"/>
          <w:lang w:val="fr-FR"/>
        </w:rPr>
      </w:pPr>
      <w:r w:rsidRPr="0015333F">
        <w:rPr>
          <w:rFonts w:cs="Arial"/>
          <w:lang w:val="fr-FR"/>
        </w:rPr>
        <w:t>Des schémas de financements complexes ont été développés dans le cadre de nombreux ouvrages français : Disneyland Paris, Viaduc de Millau</w:t>
      </w:r>
      <w:r w:rsidRPr="0015333F">
        <w:rPr>
          <w:rFonts w:cs="Arial"/>
          <w:snapToGrid w:val="0"/>
          <w:vertAlign w:val="superscript"/>
          <w:lang w:val="fr-FR"/>
        </w:rPr>
        <w:footnoteReference w:id="3"/>
      </w:r>
      <w:r w:rsidRPr="0015333F">
        <w:rPr>
          <w:rFonts w:cs="Arial"/>
          <w:lang w:val="fr-FR"/>
        </w:rPr>
        <w:t xml:space="preserve"> ou le tunnel sous la manche.</w:t>
      </w:r>
    </w:p>
    <w:p w14:paraId="0AFEABF6" w14:textId="77777777" w:rsidR="008C6603" w:rsidRPr="0015333F" w:rsidRDefault="008C6603" w:rsidP="002B647C">
      <w:pPr>
        <w:rPr>
          <w:rFonts w:cs="Arial"/>
          <w:lang w:val="fr-FR"/>
        </w:rPr>
      </w:pPr>
      <w:r w:rsidRPr="0015333F">
        <w:rPr>
          <w:rFonts w:cs="Arial"/>
          <w:lang w:val="fr-FR"/>
        </w:rPr>
        <w:t>Si le phénomène n’est pas nouveau, il a connu ces vingt dernières années un essor exponentiel. Nous allons tenter d’isoler quelques grandes caractéristiques.</w:t>
      </w:r>
    </w:p>
    <w:p w14:paraId="3D35BDD9" w14:textId="715AF36F" w:rsidR="00904562" w:rsidRPr="00110DE8" w:rsidRDefault="008C6603" w:rsidP="00110DE8">
      <w:pPr>
        <w:rPr>
          <w:rFonts w:cs="Arial"/>
          <w:lang w:val="fr-FR"/>
        </w:rPr>
      </w:pPr>
      <w:r w:rsidRPr="0015333F">
        <w:rPr>
          <w:rFonts w:cs="Arial"/>
          <w:lang w:val="fr-FR"/>
        </w:rPr>
        <w:t>Ces fina</w:t>
      </w:r>
      <w:r w:rsidR="000A1956">
        <w:rPr>
          <w:rFonts w:cs="Arial"/>
          <w:lang w:val="fr-FR"/>
        </w:rPr>
        <w:t>ncements sont caractérisés par </w:t>
      </w:r>
      <w:r w:rsidRPr="00110DE8">
        <w:rPr>
          <w:rFonts w:cs="Arial"/>
          <w:lang w:val="fr-FR"/>
        </w:rPr>
        <w:t>leur i</w:t>
      </w:r>
      <w:r w:rsidR="000A1956">
        <w:rPr>
          <w:rFonts w:cs="Arial"/>
          <w:lang w:val="fr-FR"/>
        </w:rPr>
        <w:t xml:space="preserve">mportance en termes de montant ainsi que </w:t>
      </w:r>
      <w:r w:rsidRPr="00110DE8">
        <w:rPr>
          <w:rFonts w:cs="Arial"/>
          <w:lang w:val="fr-FR"/>
        </w:rPr>
        <w:t>leur structuration « complexe »  (multiplicité des acteurs ayant chacun leurs intérêts,  spécificité des projets financés) et largement contractuelle. Les créanciers ont cherché à mettre en place des financements « sur mesure ». Le professeur Moulin affirme que le montage est « l</w:t>
      </w:r>
      <w:r w:rsidR="00B33FE1" w:rsidRPr="00110DE8">
        <w:rPr>
          <w:rFonts w:cs="Arial"/>
          <w:lang w:val="fr-FR"/>
        </w:rPr>
        <w:t>’</w:t>
      </w:r>
      <w:r w:rsidRPr="00110DE8">
        <w:rPr>
          <w:rFonts w:cs="Arial"/>
          <w:lang w:val="fr-FR"/>
        </w:rPr>
        <w:t>action de mettre ensemble, selon des techniques propres, des éléments épars et variés afin de faire produire à leur combinaison un effet particulier spécialement recherché »</w:t>
      </w:r>
      <w:r w:rsidRPr="0015333F">
        <w:rPr>
          <w:snapToGrid w:val="0"/>
          <w:vertAlign w:val="superscript"/>
          <w:lang w:val="fr-FR"/>
        </w:rPr>
        <w:footnoteReference w:id="4"/>
      </w:r>
      <w:r w:rsidRPr="00110DE8">
        <w:rPr>
          <w:rFonts w:cs="Arial"/>
          <w:lang w:val="fr-FR"/>
        </w:rPr>
        <w:t>. Au pays de la « haute couture », les praticiens ont donc développé des solutions spécifiques pour satisfaire les créanciers exigeants (la mise en place de limitation de recours, création d’entité</w:t>
      </w:r>
      <w:r w:rsidR="00B33FE1" w:rsidRPr="00110DE8">
        <w:rPr>
          <w:rFonts w:cs="Arial"/>
          <w:lang w:val="fr-FR"/>
        </w:rPr>
        <w:t>s</w:t>
      </w:r>
      <w:r w:rsidRPr="00110DE8">
        <w:rPr>
          <w:rFonts w:cs="Arial"/>
          <w:lang w:val="fr-FR"/>
        </w:rPr>
        <w:t xml:space="preserve"> </w:t>
      </w:r>
      <w:r w:rsidRPr="00110DE8">
        <w:rPr>
          <w:rFonts w:cs="Arial"/>
          <w:i/>
          <w:lang w:val="fr-FR"/>
        </w:rPr>
        <w:t>ad hoc</w:t>
      </w:r>
      <w:r w:rsidRPr="00110DE8">
        <w:rPr>
          <w:rFonts w:cs="Arial"/>
          <w:lang w:val="fr-FR"/>
        </w:rPr>
        <w:t>, subordination de la dette</w:t>
      </w:r>
      <w:r w:rsidR="004E1656">
        <w:rPr>
          <w:rStyle w:val="Marquenotebasdepage"/>
          <w:rFonts w:cs="Arial"/>
          <w:lang w:val="fr-FR"/>
        </w:rPr>
        <w:footnoteReference w:id="5"/>
      </w:r>
      <w:r w:rsidRPr="00110DE8">
        <w:rPr>
          <w:rFonts w:cs="Arial"/>
          <w:lang w:val="fr-FR"/>
        </w:rPr>
        <w:t xml:space="preserve">…). Par ailleurs, certains praticiens n’ont pas hésité dans le cadre de montage astucieux à contourner certaines contraintes imposées aux créanciers par les procédures collectives. Le législateur a développé des réponses spécifiques pour tenir compte des spécificités de ce type de dispositif. </w:t>
      </w:r>
    </w:p>
    <w:p w14:paraId="1872D6F2" w14:textId="77777777" w:rsidR="00904562" w:rsidRDefault="008C6603" w:rsidP="000C4857">
      <w:pPr>
        <w:rPr>
          <w:rFonts w:cs="Arial"/>
          <w:lang w:val="fr-FR"/>
        </w:rPr>
      </w:pPr>
      <w:r w:rsidRPr="0015333F">
        <w:rPr>
          <w:rFonts w:cs="Arial"/>
          <w:lang w:val="fr-FR"/>
        </w:rPr>
        <w:t>Les financements structurés sont des montages en concurrence avec la procédure collective</w:t>
      </w:r>
      <w:r w:rsidR="00904562">
        <w:rPr>
          <w:rFonts w:cs="Arial"/>
          <w:lang w:val="fr-FR"/>
        </w:rPr>
        <w:t xml:space="preserve">. </w:t>
      </w:r>
    </w:p>
    <w:p w14:paraId="63343A1C" w14:textId="696386E4" w:rsidR="008C6603" w:rsidRPr="00110DE8" w:rsidRDefault="008C6603" w:rsidP="00110DE8">
      <w:pPr>
        <w:rPr>
          <w:rFonts w:cs="Arial"/>
          <w:lang w:val="fr-FR"/>
        </w:rPr>
      </w:pPr>
      <w:r w:rsidRPr="0015333F">
        <w:rPr>
          <w:rFonts w:cs="Arial"/>
          <w:lang w:val="fr-FR"/>
        </w:rPr>
        <w:lastRenderedPageBreak/>
        <w:t>Les financements stru</w:t>
      </w:r>
      <w:r w:rsidR="000A1956">
        <w:rPr>
          <w:rFonts w:cs="Arial"/>
          <w:lang w:val="fr-FR"/>
        </w:rPr>
        <w:t>cturés ont un double objectif : c</w:t>
      </w:r>
      <w:r w:rsidRPr="00110DE8">
        <w:rPr>
          <w:rFonts w:cs="Arial"/>
          <w:lang w:val="fr-FR"/>
        </w:rPr>
        <w:t>apter l’actif (les biens) e</w:t>
      </w:r>
      <w:r w:rsidR="000A1956">
        <w:rPr>
          <w:rFonts w:cs="Arial"/>
          <w:lang w:val="fr-FR"/>
        </w:rPr>
        <w:t>t définir le passif (la dette) ainsi que d</w:t>
      </w:r>
      <w:r w:rsidRPr="00110DE8">
        <w:rPr>
          <w:rFonts w:cs="Arial"/>
          <w:bCs/>
          <w:lang w:val="fr-FR"/>
        </w:rPr>
        <w:t>éfinir l’ordre des répartitions du produit de la saisie des biens entre les créanciers.</w:t>
      </w:r>
      <w:r w:rsidRPr="00110DE8">
        <w:rPr>
          <w:rFonts w:cs="Arial"/>
          <w:lang w:val="fr-FR"/>
        </w:rPr>
        <w:t xml:space="preserve">  </w:t>
      </w:r>
    </w:p>
    <w:p w14:paraId="67CA8249" w14:textId="09D792CD" w:rsidR="000C4857" w:rsidRDefault="008C6603" w:rsidP="000C4857">
      <w:pPr>
        <w:rPr>
          <w:rFonts w:cs="Arial"/>
          <w:lang w:val="fr-FR"/>
        </w:rPr>
      </w:pPr>
      <w:r w:rsidRPr="0015333F">
        <w:rPr>
          <w:rFonts w:cs="Arial"/>
          <w:lang w:val="fr-FR"/>
        </w:rPr>
        <w:t xml:space="preserve">Ces deux objectifs sont les mêmes que ceux des procédures collectives : capter l’actif et répartir le produit de cette saisie. La concurrence entre les deux systèmes est donc inévitable. </w:t>
      </w:r>
      <w:r w:rsidRPr="0015333F">
        <w:rPr>
          <w:rFonts w:cs="Arial"/>
          <w:lang w:val="fr-FR"/>
        </w:rPr>
        <w:br/>
        <w:t>De prime abord, la lutte semble inéquitable.</w:t>
      </w:r>
      <w:r w:rsidR="00B33FE1" w:rsidRPr="0015333F">
        <w:rPr>
          <w:rFonts w:cs="Arial"/>
          <w:lang w:val="fr-FR"/>
        </w:rPr>
        <w:t xml:space="preserve"> </w:t>
      </w:r>
      <w:r w:rsidRPr="0015333F">
        <w:rPr>
          <w:rFonts w:cs="Arial"/>
          <w:lang w:val="fr-FR"/>
        </w:rPr>
        <w:t>Les financements structurés sont issus de la volonté de certaines parties et de nature largement contractuelle. Ils devraient donc s’incliner face aux règles fixées par le droit des procédures collectives fortement teinté</w:t>
      </w:r>
      <w:r w:rsidR="00B33FE1" w:rsidRPr="0015333F">
        <w:rPr>
          <w:rFonts w:cs="Arial"/>
          <w:lang w:val="fr-FR"/>
        </w:rPr>
        <w:t>es</w:t>
      </w:r>
      <w:r w:rsidRPr="0015333F">
        <w:rPr>
          <w:rFonts w:cs="Arial"/>
          <w:lang w:val="fr-FR"/>
        </w:rPr>
        <w:t xml:space="preserve"> d’ordre public. C’est la « loi des parties » contre la « loi tout court ». Une étude plus poussée des montages des financements structurés révèle une efficacité inattendue de ses montages, y compris dans des contextes de procédure collective. Cette efficacité est largement liée à une stratégie des financements structurés exploitant l’ensemble des limites du champ d’application des procédures d’insolv</w:t>
      </w:r>
      <w:r w:rsidRPr="000C4857">
        <w:rPr>
          <w:rFonts w:cs="Arial"/>
          <w:lang w:val="fr-FR"/>
        </w:rPr>
        <w:t>abilité.</w:t>
      </w:r>
      <w:r w:rsidR="00110DE8">
        <w:rPr>
          <w:rFonts w:cs="Arial"/>
          <w:lang w:val="fr-FR"/>
        </w:rPr>
        <w:tab/>
      </w:r>
      <w:r w:rsidRPr="000C4857">
        <w:rPr>
          <w:rFonts w:cs="Arial"/>
          <w:lang w:val="fr-FR"/>
        </w:rPr>
        <w:br/>
        <w:t>Les financements structurés sont des montages avec une approche spécifique</w:t>
      </w:r>
      <w:r w:rsidR="000A1956">
        <w:rPr>
          <w:rFonts w:cs="Arial"/>
          <w:lang w:val="fr-FR"/>
        </w:rPr>
        <w:t xml:space="preserve">. S’agissant </w:t>
      </w:r>
      <w:r w:rsidR="000A1956" w:rsidRPr="000A1956">
        <w:rPr>
          <w:rFonts w:cs="Arial"/>
          <w:i/>
          <w:lang w:val="fr-FR"/>
        </w:rPr>
        <w:t>du</w:t>
      </w:r>
      <w:r w:rsidRPr="000A1956">
        <w:rPr>
          <w:rFonts w:cs="Arial"/>
          <w:i/>
          <w:lang w:val="fr-FR"/>
        </w:rPr>
        <w:t xml:space="preserve"> modus op</w:t>
      </w:r>
      <w:r w:rsidR="00B33FE1" w:rsidRPr="000A1956">
        <w:rPr>
          <w:rFonts w:cs="Arial"/>
          <w:i/>
          <w:lang w:val="fr-FR"/>
        </w:rPr>
        <w:t>e</w:t>
      </w:r>
      <w:r w:rsidRPr="000A1956">
        <w:rPr>
          <w:rFonts w:cs="Arial"/>
          <w:i/>
          <w:lang w:val="fr-FR"/>
        </w:rPr>
        <w:t>randi</w:t>
      </w:r>
      <w:r w:rsidRPr="0015333F">
        <w:rPr>
          <w:rFonts w:cs="Arial"/>
          <w:lang w:val="fr-FR"/>
        </w:rPr>
        <w:t xml:space="preserve">, </w:t>
      </w:r>
      <w:r w:rsidR="000A1956">
        <w:rPr>
          <w:rFonts w:cs="Arial"/>
          <w:lang w:val="fr-FR"/>
        </w:rPr>
        <w:t>deux</w:t>
      </w:r>
      <w:r w:rsidRPr="0015333F">
        <w:rPr>
          <w:rFonts w:cs="Arial"/>
          <w:lang w:val="fr-FR"/>
        </w:rPr>
        <w:t xml:space="preserve"> méthodes </w:t>
      </w:r>
      <w:r w:rsidR="000A1956">
        <w:rPr>
          <w:rFonts w:cs="Arial"/>
          <w:lang w:val="fr-FR"/>
        </w:rPr>
        <w:t xml:space="preserve">sont </w:t>
      </w:r>
      <w:r w:rsidRPr="0015333F">
        <w:rPr>
          <w:rFonts w:cs="Arial"/>
          <w:lang w:val="fr-FR"/>
        </w:rPr>
        <w:t>possibles</w:t>
      </w:r>
      <w:r w:rsidR="00B33FE1" w:rsidRPr="0015333F">
        <w:rPr>
          <w:rFonts w:cs="Arial"/>
          <w:lang w:val="fr-FR"/>
        </w:rPr>
        <w:t> </w:t>
      </w:r>
      <w:r w:rsidRPr="0015333F">
        <w:rPr>
          <w:rFonts w:cs="Arial"/>
          <w:lang w:val="fr-FR"/>
        </w:rPr>
        <w:t xml:space="preserve">: </w:t>
      </w:r>
    </w:p>
    <w:p w14:paraId="73878CD1" w14:textId="21DC38D5" w:rsidR="008C6603" w:rsidRPr="00110DE8" w:rsidRDefault="00110DE8" w:rsidP="00110DE8">
      <w:pPr>
        <w:rPr>
          <w:rFonts w:cs="Arial"/>
          <w:lang w:val="fr-FR"/>
        </w:rPr>
      </w:pPr>
      <w:r>
        <w:rPr>
          <w:rFonts w:cs="Arial"/>
          <w:lang w:val="fr-FR"/>
        </w:rPr>
        <w:t xml:space="preserve">– </w:t>
      </w:r>
      <w:r w:rsidR="000A1956">
        <w:rPr>
          <w:rFonts w:cs="Arial"/>
          <w:lang w:val="fr-FR"/>
        </w:rPr>
        <w:t xml:space="preserve">d’une part, </w:t>
      </w:r>
      <w:r w:rsidR="008C6603" w:rsidRPr="00110DE8">
        <w:rPr>
          <w:rFonts w:cs="Arial"/>
          <w:bCs/>
          <w:lang w:val="fr-FR"/>
        </w:rPr>
        <w:t>l’utilisation de textes dérogatoires. Dans cette configuration, l</w:t>
      </w:r>
      <w:r w:rsidR="00647926">
        <w:rPr>
          <w:rFonts w:cs="Arial"/>
          <w:bCs/>
          <w:lang w:val="fr-FR"/>
        </w:rPr>
        <w:t xml:space="preserve">e montage s’appuie sur l’adage </w:t>
      </w:r>
      <w:proofErr w:type="spellStart"/>
      <w:r w:rsidR="008C6603" w:rsidRPr="00647926">
        <w:rPr>
          <w:rFonts w:cs="Arial"/>
          <w:i/>
          <w:lang w:val="fr-FR"/>
        </w:rPr>
        <w:t>specialia</w:t>
      </w:r>
      <w:proofErr w:type="spellEnd"/>
      <w:r w:rsidR="008C6603" w:rsidRPr="00647926">
        <w:rPr>
          <w:rFonts w:cs="Arial"/>
          <w:i/>
          <w:lang w:val="fr-FR"/>
        </w:rPr>
        <w:t xml:space="preserve"> </w:t>
      </w:r>
      <w:proofErr w:type="spellStart"/>
      <w:r w:rsidR="008C6603" w:rsidRPr="00647926">
        <w:rPr>
          <w:rFonts w:cs="Arial"/>
          <w:i/>
          <w:lang w:val="fr-FR"/>
        </w:rPr>
        <w:t>generalibus</w:t>
      </w:r>
      <w:proofErr w:type="spellEnd"/>
      <w:r w:rsidR="008C6603" w:rsidRPr="00647926">
        <w:rPr>
          <w:rFonts w:cs="Arial"/>
          <w:i/>
          <w:lang w:val="fr-FR"/>
        </w:rPr>
        <w:t xml:space="preserve"> </w:t>
      </w:r>
      <w:proofErr w:type="spellStart"/>
      <w:r w:rsidR="008C6603" w:rsidRPr="00647926">
        <w:rPr>
          <w:rFonts w:cs="Arial"/>
          <w:i/>
          <w:lang w:val="fr-FR"/>
        </w:rPr>
        <w:t>derogant</w:t>
      </w:r>
      <w:proofErr w:type="spellEnd"/>
      <w:r w:rsidR="008C6603" w:rsidRPr="00110DE8">
        <w:rPr>
          <w:rFonts w:cs="Arial"/>
          <w:bCs/>
          <w:lang w:val="fr-FR"/>
        </w:rPr>
        <w:t xml:space="preserve"> la « règle spéciale prime la règle générale ». Afin d’échapper au régime commun du droit des procédures collectives, considéré comme trop contraignant pour le créancier, les praticiens s’appuient sur des régimes spéciaux. Nous ne nous étendrons pas sur le sujet</w:t>
      </w:r>
      <w:r w:rsidR="00B33FE1" w:rsidRPr="00110DE8">
        <w:rPr>
          <w:rFonts w:cs="Arial"/>
          <w:bCs/>
          <w:lang w:val="fr-FR"/>
        </w:rPr>
        <w:t> </w:t>
      </w:r>
      <w:r w:rsidR="008C6603" w:rsidRPr="00110DE8">
        <w:rPr>
          <w:rFonts w:cs="Arial"/>
          <w:bCs/>
          <w:lang w:val="fr-FR"/>
        </w:rPr>
        <w:t>;</w:t>
      </w:r>
    </w:p>
    <w:p w14:paraId="32321255" w14:textId="6DD01A46" w:rsidR="008C6603" w:rsidRPr="00110DE8" w:rsidRDefault="00110DE8" w:rsidP="00110DE8">
      <w:pPr>
        <w:rPr>
          <w:rFonts w:cs="Arial"/>
          <w:lang w:val="fr-FR"/>
        </w:rPr>
      </w:pPr>
      <w:r>
        <w:rPr>
          <w:rFonts w:cs="Arial"/>
          <w:lang w:val="fr-FR"/>
        </w:rPr>
        <w:t xml:space="preserve">– </w:t>
      </w:r>
      <w:r w:rsidR="000A1956">
        <w:rPr>
          <w:rFonts w:cs="Arial"/>
          <w:lang w:val="fr-FR"/>
        </w:rPr>
        <w:t xml:space="preserve">d’autre part, </w:t>
      </w:r>
      <w:r w:rsidR="008C6603" w:rsidRPr="00110DE8">
        <w:rPr>
          <w:rFonts w:cs="Arial"/>
          <w:bCs/>
          <w:lang w:val="fr-FR"/>
        </w:rPr>
        <w:t xml:space="preserve">l’utilisation des limites de la procédure collective. </w:t>
      </w:r>
      <w:r w:rsidR="008C6603" w:rsidRPr="00110DE8">
        <w:rPr>
          <w:rFonts w:cs="Arial"/>
          <w:lang w:val="fr-FR"/>
        </w:rPr>
        <w:t>Pour le professeur GUYON, « le droit des procédures collectives est (…) comparable à l’état d’urgence, qui suspend l’application des lois habituelles »</w:t>
      </w:r>
      <w:r w:rsidR="008C6603" w:rsidRPr="0015333F">
        <w:rPr>
          <w:rFonts w:eastAsia="Calibri"/>
          <w:snapToGrid w:val="0"/>
          <w:vertAlign w:val="superscript"/>
          <w:lang w:val="fr-FR"/>
        </w:rPr>
        <w:footnoteReference w:id="6"/>
      </w:r>
      <w:r w:rsidR="008C6603" w:rsidRPr="00110DE8">
        <w:rPr>
          <w:rFonts w:eastAsia="Calibri" w:cs="Arial"/>
          <w:lang w:val="fr-FR"/>
        </w:rPr>
        <w:t xml:space="preserve">. Comme cela vous a été exposé lors de l’atelier : « Les altérations nécessaires des lois en matière de droit des entreprises en difficulté », </w:t>
      </w:r>
      <w:r w:rsidR="008C6603" w:rsidRPr="00110DE8">
        <w:rPr>
          <w:rFonts w:cs="Arial"/>
          <w:lang w:val="fr-FR"/>
        </w:rPr>
        <w:t>le droit des procédures collectives déroge au droit des contrats, à celui des suretés… Pour ne pas que cet état d’exception ne devienne le droit commun, le champ d’application des procédures collectives est borné par des limites territoriales, réelles</w:t>
      </w:r>
      <w:r w:rsidR="00CC316A">
        <w:rPr>
          <w:rFonts w:cs="Arial"/>
          <w:lang w:val="fr-FR"/>
        </w:rPr>
        <w:t xml:space="preserve"> et</w:t>
      </w:r>
      <w:r w:rsidR="008C6603" w:rsidRPr="00110DE8">
        <w:rPr>
          <w:rFonts w:cs="Arial"/>
          <w:lang w:val="fr-FR"/>
        </w:rPr>
        <w:t xml:space="preserve"> temporelles</w:t>
      </w:r>
      <w:r w:rsidR="000A1956">
        <w:rPr>
          <w:rFonts w:cs="Arial"/>
          <w:lang w:val="fr-FR"/>
        </w:rPr>
        <w:t>.</w:t>
      </w:r>
      <w:r w:rsidR="008C6603" w:rsidRPr="00110DE8">
        <w:rPr>
          <w:rFonts w:cs="Arial"/>
          <w:lang w:val="fr-FR"/>
        </w:rPr>
        <w:t xml:space="preserve"> </w:t>
      </w:r>
      <w:r w:rsidR="00904562">
        <w:rPr>
          <w:rFonts w:cs="Arial"/>
          <w:lang w:val="fr-FR"/>
        </w:rPr>
        <w:t>Il est possible de citer deux</w:t>
      </w:r>
      <w:r w:rsidR="008C6603" w:rsidRPr="00110DE8">
        <w:rPr>
          <w:rFonts w:cs="Arial"/>
          <w:lang w:val="fr-FR"/>
        </w:rPr>
        <w:t xml:space="preserve"> exemples de limit</w:t>
      </w:r>
      <w:r w:rsidR="000A1956">
        <w:rPr>
          <w:rFonts w:cs="Arial"/>
          <w:lang w:val="fr-FR"/>
        </w:rPr>
        <w:t>es pour être plus concret :</w:t>
      </w:r>
    </w:p>
    <w:p w14:paraId="45F609A4" w14:textId="638CD7A7" w:rsidR="008C6603" w:rsidRPr="00110DE8" w:rsidRDefault="000A1956" w:rsidP="000A1956">
      <w:pPr>
        <w:ind w:left="426"/>
        <w:rPr>
          <w:rFonts w:cs="Arial"/>
          <w:lang w:val="fr-FR"/>
        </w:rPr>
      </w:pPr>
      <w:r>
        <w:rPr>
          <w:rFonts w:cs="Arial"/>
          <w:lang w:val="fr-FR"/>
        </w:rPr>
        <w:t xml:space="preserve">– </w:t>
      </w:r>
      <w:r w:rsidR="008C6603" w:rsidRPr="00110DE8">
        <w:rPr>
          <w:rFonts w:cs="Arial"/>
          <w:lang w:val="fr-FR"/>
        </w:rPr>
        <w:t>Celle liée à l’espace : théoriquement la procédure collective a vocation à déployer ses effets sur tous les biens du débiteur, y compris ceux localisés dans un autre état (effet universel reconnu depuis l’arrêt Khalifa Airways</w:t>
      </w:r>
      <w:r w:rsidR="008C6603" w:rsidRPr="0015333F">
        <w:rPr>
          <w:snapToGrid w:val="0"/>
          <w:vertAlign w:val="superscript"/>
          <w:lang w:val="fr-FR"/>
        </w:rPr>
        <w:footnoteReference w:id="7"/>
      </w:r>
      <w:r w:rsidR="008C6603" w:rsidRPr="00110DE8">
        <w:rPr>
          <w:rFonts w:cs="Arial"/>
          <w:lang w:val="fr-FR"/>
        </w:rPr>
        <w:t xml:space="preserve">). Cependant la pratique est différente : que penserait le juge brésilien d’un administrateur français utilisant le droit français en espérant capter les actifs localisés à Fortaleza ou à Brasilia ? Il est peu probable que l’administrateur français soit en mesure </w:t>
      </w:r>
      <w:r w:rsidR="008C6603" w:rsidRPr="00110DE8">
        <w:rPr>
          <w:rFonts w:cs="Arial"/>
          <w:lang w:val="fr-FR"/>
        </w:rPr>
        <w:lastRenderedPageBreak/>
        <w:t xml:space="preserve">d’imposer ses règles. Si la règle de Droit </w:t>
      </w:r>
      <w:r w:rsidR="00B33FE1" w:rsidRPr="00110DE8">
        <w:rPr>
          <w:rFonts w:cs="Arial"/>
          <w:lang w:val="fr-FR"/>
        </w:rPr>
        <w:t>i</w:t>
      </w:r>
      <w:r w:rsidR="008C6603" w:rsidRPr="00110DE8">
        <w:rPr>
          <w:rFonts w:cs="Arial"/>
          <w:lang w:val="fr-FR"/>
        </w:rPr>
        <w:t>nternational Privé affirme qu’une autre juridiction est compétente, il devra obtenir la validation du juge brésilien et  l’exéquatur de la décision d’ouverture de la procédure collective.</w:t>
      </w:r>
    </w:p>
    <w:p w14:paraId="0ADCAC5A" w14:textId="4E87180C" w:rsidR="008C6603" w:rsidRPr="00110DE8" w:rsidRDefault="00110DE8" w:rsidP="000A1956">
      <w:pPr>
        <w:ind w:left="426"/>
        <w:rPr>
          <w:rFonts w:cs="Arial"/>
          <w:lang w:val="fr-FR"/>
        </w:rPr>
      </w:pPr>
      <w:r>
        <w:rPr>
          <w:rFonts w:cs="Arial"/>
          <w:lang w:val="fr-FR"/>
        </w:rPr>
        <w:t xml:space="preserve">– </w:t>
      </w:r>
      <w:r w:rsidR="008C6603" w:rsidRPr="00110DE8">
        <w:rPr>
          <w:rFonts w:cs="Arial"/>
          <w:lang w:val="fr-FR"/>
        </w:rPr>
        <w:t xml:space="preserve">Celle liée à </w:t>
      </w:r>
      <w:r w:rsidR="00C41113">
        <w:rPr>
          <w:rFonts w:cs="Arial"/>
          <w:lang w:val="fr-FR"/>
        </w:rPr>
        <w:t>l’effet réelle</w:t>
      </w:r>
      <w:r w:rsidR="008C6603" w:rsidRPr="00110DE8">
        <w:rPr>
          <w:rFonts w:cs="Arial"/>
          <w:lang w:val="fr-FR"/>
        </w:rPr>
        <w:t xml:space="preserve"> de la procédure collective : la procédure collective </w:t>
      </w:r>
      <w:r w:rsidR="00CC316A">
        <w:rPr>
          <w:rFonts w:cs="Arial"/>
          <w:lang w:val="fr-FR"/>
        </w:rPr>
        <w:t>permet d’organiser l’insolvabilité du débiteur. Elle n’a pas vocation à déployer ses effets au-delà du patrimoine du débiteur</w:t>
      </w:r>
      <w:r w:rsidR="008C6603" w:rsidRPr="00110DE8">
        <w:rPr>
          <w:rFonts w:cs="Arial"/>
          <w:lang w:val="fr-FR"/>
        </w:rPr>
        <w:t>. Elle ne devrait exercer qu’une influence limitée sur les relations inter créanci</w:t>
      </w:r>
      <w:r w:rsidR="00B33FE1" w:rsidRPr="00110DE8">
        <w:rPr>
          <w:rFonts w:cs="Arial"/>
          <w:lang w:val="fr-FR"/>
        </w:rPr>
        <w:t>er</w:t>
      </w:r>
      <w:r w:rsidR="008C6603" w:rsidRPr="00110DE8">
        <w:rPr>
          <w:rFonts w:cs="Arial"/>
          <w:lang w:val="fr-FR"/>
        </w:rPr>
        <w:t xml:space="preserve">s. </w:t>
      </w:r>
    </w:p>
    <w:p w14:paraId="0924A0DA" w14:textId="77777777" w:rsidR="008C6603" w:rsidRPr="0015333F" w:rsidRDefault="008C6603" w:rsidP="002B647C">
      <w:pPr>
        <w:pStyle w:val="Paragraphedeliste"/>
        <w:ind w:left="0"/>
        <w:contextualSpacing w:val="0"/>
        <w:rPr>
          <w:rFonts w:cs="Arial"/>
          <w:lang w:val="fr-FR"/>
        </w:rPr>
      </w:pPr>
      <w:r w:rsidRPr="0015333F">
        <w:rPr>
          <w:rFonts w:cs="Arial"/>
          <w:lang w:val="fr-FR"/>
        </w:rPr>
        <w:t>Nous reviendrons sur l’utilisation de ces deux limites dans la seconde partie de cette analyse. Mais en premier lieu nous allons faire un rapide panorama des réponses apportées par le législateur face à l’essor de ces financements spécifiques.</w:t>
      </w:r>
    </w:p>
    <w:p w14:paraId="51825B1C" w14:textId="739C27DC" w:rsidR="008C6603" w:rsidRPr="0015333F" w:rsidRDefault="008C6603" w:rsidP="00B33FE1">
      <w:pPr>
        <w:pStyle w:val="Titre2"/>
        <w:rPr>
          <w:lang w:val="fr-FR"/>
        </w:rPr>
      </w:pPr>
      <w:r w:rsidRPr="0015333F">
        <w:rPr>
          <w:lang w:val="fr-FR"/>
        </w:rPr>
        <w:t xml:space="preserve">Les multiples dispositifs proposés par le législateur de traitement </w:t>
      </w:r>
      <w:r w:rsidR="00636360">
        <w:rPr>
          <w:lang w:val="fr-FR"/>
        </w:rPr>
        <w:t>des financements structurés</w:t>
      </w:r>
      <w:r w:rsidRPr="0015333F">
        <w:rPr>
          <w:lang w:val="fr-FR"/>
        </w:rPr>
        <w:t xml:space="preserve"> </w:t>
      </w:r>
    </w:p>
    <w:p w14:paraId="06128ACC" w14:textId="5C57CCC8" w:rsidR="008C6603" w:rsidRPr="0015333F" w:rsidRDefault="008C6603" w:rsidP="002B647C">
      <w:pPr>
        <w:pStyle w:val="Paragraphedeliste"/>
        <w:ind w:left="0"/>
        <w:contextualSpacing w:val="0"/>
        <w:rPr>
          <w:rFonts w:cs="Arial"/>
          <w:lang w:val="fr-FR"/>
        </w:rPr>
      </w:pPr>
      <w:r w:rsidRPr="0015333F">
        <w:rPr>
          <w:rFonts w:cs="Arial"/>
          <w:lang w:val="fr-FR"/>
        </w:rPr>
        <w:t xml:space="preserve">Si l’on reprend les différentes caractéristiques des financements structurés, il est possible de constater qu’au fil des réformes le législateur a tenté d’apporter des réponses pour faire face à ces problèmes. </w:t>
      </w:r>
      <w:r w:rsidRPr="0015333F">
        <w:rPr>
          <w:rFonts w:cs="Arial"/>
          <w:lang w:val="fr-FR"/>
        </w:rPr>
        <w:br/>
        <w:t>Comment faire face à des niveaux d’endettement aussi importants (une dette équivalente à 10 fois</w:t>
      </w:r>
      <w:r w:rsidR="00110DE8">
        <w:rPr>
          <w:rFonts w:cs="Arial"/>
          <w:lang w:val="fr-FR"/>
        </w:rPr>
        <w:t xml:space="preserve"> l’EBITDA</w:t>
      </w:r>
      <w:r w:rsidRPr="0015333F">
        <w:rPr>
          <w:rFonts w:cs="Arial"/>
          <w:lang w:val="fr-FR"/>
        </w:rPr>
        <w:t xml:space="preserve"> dans le cas de la société Saur) ?</w:t>
      </w:r>
      <w:r w:rsidRPr="0015333F">
        <w:rPr>
          <w:rFonts w:cs="Arial"/>
          <w:lang w:val="fr-FR"/>
        </w:rPr>
        <w:tab/>
      </w:r>
      <w:r w:rsidRPr="0015333F">
        <w:rPr>
          <w:rFonts w:cs="Arial"/>
          <w:lang w:val="fr-FR"/>
        </w:rPr>
        <w:br/>
        <w:t>Historiquement, l’effort maximum pouvant être imposé par le tribunal à un créancier en droit français est le rééchelonnement  de la dette sur 10 ans</w:t>
      </w:r>
      <w:r w:rsidR="00636360">
        <w:rPr>
          <w:rStyle w:val="Marquenotebasdepage"/>
          <w:rFonts w:cs="Arial"/>
          <w:lang w:val="fr-FR"/>
        </w:rPr>
        <w:footnoteReference w:id="8"/>
      </w:r>
      <w:r w:rsidRPr="0015333F">
        <w:rPr>
          <w:rFonts w:cs="Arial"/>
          <w:lang w:val="fr-FR"/>
        </w:rPr>
        <w:t>. La solution était parfois insuffisante. Dans certains dossiers avec un niveau de levier particulièrement élevé, l’abandon ou la conversion de créance étaient indispensable</w:t>
      </w:r>
      <w:r w:rsidR="00B33FE1" w:rsidRPr="0015333F">
        <w:rPr>
          <w:rFonts w:cs="Arial"/>
          <w:lang w:val="fr-FR"/>
        </w:rPr>
        <w:t>s</w:t>
      </w:r>
      <w:r w:rsidRPr="0015333F">
        <w:rPr>
          <w:rFonts w:cs="Arial"/>
          <w:lang w:val="fr-FR"/>
        </w:rPr>
        <w:t xml:space="preserve">.  </w:t>
      </w:r>
    </w:p>
    <w:p w14:paraId="106357EE" w14:textId="3EB917DA" w:rsidR="008C6603" w:rsidRPr="0015333F" w:rsidRDefault="008C6603" w:rsidP="00B33FE1">
      <w:pPr>
        <w:rPr>
          <w:rFonts w:cs="Arial"/>
          <w:b/>
          <w:bCs/>
          <w:lang w:val="fr-FR"/>
        </w:rPr>
      </w:pPr>
      <w:r w:rsidRPr="0015333F">
        <w:rPr>
          <w:rFonts w:cs="Arial"/>
          <w:lang w:val="fr-FR"/>
        </w:rPr>
        <w:t>En 2005, le législateur crée la sauvegarde et les comités. Ces comités négocient avec</w:t>
      </w:r>
      <w:r w:rsidR="00586EB0">
        <w:rPr>
          <w:rFonts w:cs="Arial"/>
          <w:lang w:val="fr-FR"/>
        </w:rPr>
        <w:t xml:space="preserve"> le débiteur le détail du plan</w:t>
      </w:r>
      <w:r w:rsidRPr="0015333F">
        <w:rPr>
          <w:rFonts w:cs="Arial"/>
          <w:lang w:val="fr-FR"/>
        </w:rPr>
        <w:t>. Cette institution permet d’organiser un vote avec certaines catégories de créanciers notamment les créanciers financiers (au départ seules les banques au sens étroit du terme étaient conviées avant que le périmètre des créanciers financiers ne soit progressivement agrandi</w:t>
      </w:r>
      <w:r w:rsidR="00586EB0">
        <w:rPr>
          <w:rStyle w:val="Marquenotebasdepage"/>
          <w:rFonts w:cs="Arial"/>
          <w:lang w:val="fr-FR"/>
        </w:rPr>
        <w:footnoteReference w:id="9"/>
      </w:r>
      <w:r w:rsidRPr="0015333F">
        <w:rPr>
          <w:rFonts w:cs="Arial"/>
          <w:lang w:val="fr-FR"/>
        </w:rPr>
        <w:t>). Il est possible de leurs demander des sacrifices au-delà de ce qu’est en mesure d’imposer un tribunal en France : abandon de créance, rééchelonnement au-delà de 10 ans, une conversion des créances en capital ou en titres donnant ou pouvant donner accès au capital (depuis 2008).</w:t>
      </w:r>
      <w:r w:rsidRPr="0015333F">
        <w:rPr>
          <w:rFonts w:cs="Arial"/>
          <w:b/>
          <w:bCs/>
          <w:lang w:val="fr-FR"/>
        </w:rPr>
        <w:t xml:space="preserve"> </w:t>
      </w:r>
      <w:r w:rsidRPr="0015333F">
        <w:rPr>
          <w:rFonts w:cs="Arial"/>
          <w:bCs/>
          <w:lang w:val="fr-FR"/>
        </w:rPr>
        <w:t>C’est la mise en place d’un véritable piège pour les créanciers.</w:t>
      </w:r>
      <w:r w:rsidRPr="0015333F">
        <w:rPr>
          <w:rFonts w:cs="Arial"/>
          <w:b/>
          <w:bCs/>
          <w:lang w:val="fr-FR"/>
        </w:rPr>
        <w:t xml:space="preserve"> </w:t>
      </w:r>
    </w:p>
    <w:p w14:paraId="4E30F231" w14:textId="58B029E7" w:rsidR="008C6603" w:rsidRPr="0015333F" w:rsidRDefault="008C6603" w:rsidP="00B33FE1">
      <w:pPr>
        <w:rPr>
          <w:rFonts w:cs="Arial"/>
          <w:b/>
          <w:bCs/>
          <w:lang w:val="fr-FR"/>
        </w:rPr>
      </w:pPr>
      <w:r w:rsidRPr="0015333F">
        <w:rPr>
          <w:rFonts w:cs="Arial"/>
          <w:bCs/>
          <w:lang w:val="fr-FR"/>
        </w:rPr>
        <w:t>La principale condition pour obtenir l’approbation d’un plan est l’obtention d’une majorité de créanciers. Pour obtenir cette approbation</w:t>
      </w:r>
      <w:r w:rsidR="00B33FE1" w:rsidRPr="0015333F">
        <w:rPr>
          <w:rFonts w:cs="Arial"/>
          <w:bCs/>
          <w:lang w:val="fr-FR"/>
        </w:rPr>
        <w:t>,</w:t>
      </w:r>
      <w:r w:rsidRPr="0015333F">
        <w:rPr>
          <w:rFonts w:cs="Arial"/>
          <w:bCs/>
          <w:lang w:val="fr-FR"/>
        </w:rPr>
        <w:t xml:space="preserve"> il est donc impératif de prouver que le sacrifice des créanciers est nécessaire à la poursuite de l’activité.</w:t>
      </w:r>
    </w:p>
    <w:p w14:paraId="46C82C80" w14:textId="468D9F84" w:rsidR="008C6603" w:rsidRPr="0015333F" w:rsidRDefault="008C6603" w:rsidP="00B33FE1">
      <w:pPr>
        <w:rPr>
          <w:rFonts w:cs="Arial"/>
          <w:lang w:val="fr-FR"/>
        </w:rPr>
      </w:pPr>
      <w:r w:rsidRPr="0015333F">
        <w:rPr>
          <w:rFonts w:cs="Arial"/>
          <w:lang w:val="fr-FR"/>
        </w:rPr>
        <w:lastRenderedPageBreak/>
        <w:t>Que faire si les difficultés de la société ne sont pas opérationnelles mais simplement liées au financement mis en place (parfois ces sociétés dégagent d’importants flux opérationnels : 400</w:t>
      </w:r>
      <w:r w:rsidR="00B33FE1" w:rsidRPr="0015333F">
        <w:rPr>
          <w:rFonts w:cs="Arial"/>
          <w:lang w:val="fr-FR"/>
        </w:rPr>
        <w:t> </w:t>
      </w:r>
      <w:r w:rsidRPr="0015333F">
        <w:rPr>
          <w:rFonts w:cs="Arial"/>
          <w:lang w:val="fr-FR"/>
        </w:rPr>
        <w:t>m€ d’EBITDA pour VIVARTE ou 100</w:t>
      </w:r>
      <w:r w:rsidR="00B33FE1" w:rsidRPr="0015333F">
        <w:rPr>
          <w:rFonts w:cs="Arial"/>
          <w:lang w:val="fr-FR"/>
        </w:rPr>
        <w:t> </w:t>
      </w:r>
      <w:r w:rsidRPr="0015333F">
        <w:rPr>
          <w:rFonts w:cs="Arial"/>
          <w:lang w:val="fr-FR"/>
        </w:rPr>
        <w:t>m€ pour la SAUR)</w:t>
      </w:r>
      <w:r w:rsidR="00B33FE1" w:rsidRPr="0015333F">
        <w:rPr>
          <w:rFonts w:cs="Arial"/>
          <w:lang w:val="fr-FR"/>
        </w:rPr>
        <w:t> </w:t>
      </w:r>
      <w:r w:rsidRPr="0015333F">
        <w:rPr>
          <w:rFonts w:cs="Arial"/>
          <w:lang w:val="fr-FR"/>
        </w:rPr>
        <w:t>? Comment restructurer ce passif sans perturber l’exploitation ?</w:t>
      </w:r>
    </w:p>
    <w:p w14:paraId="085FF728" w14:textId="63B9664A" w:rsidR="008C6603" w:rsidRPr="0015333F" w:rsidRDefault="008C6603" w:rsidP="00B33FE1">
      <w:pPr>
        <w:rPr>
          <w:rFonts w:cs="Arial"/>
          <w:lang w:val="fr-FR"/>
        </w:rPr>
      </w:pPr>
      <w:r w:rsidRPr="0015333F">
        <w:rPr>
          <w:rFonts w:cs="Arial"/>
          <w:lang w:val="fr-FR"/>
        </w:rPr>
        <w:t>En 2010, le législateur crée la sauvegarde financière</w:t>
      </w:r>
      <w:r w:rsidR="005F344A">
        <w:rPr>
          <w:rStyle w:val="Marquenotebasdepage"/>
          <w:rFonts w:cs="Arial"/>
          <w:lang w:val="fr-FR"/>
        </w:rPr>
        <w:footnoteReference w:id="10"/>
      </w:r>
      <w:r w:rsidRPr="0015333F">
        <w:rPr>
          <w:rFonts w:cs="Arial"/>
          <w:lang w:val="fr-FR"/>
        </w:rPr>
        <w:t>, une « procédure semi collective »</w:t>
      </w:r>
      <w:r w:rsidR="005F344A">
        <w:rPr>
          <w:rStyle w:val="Marquenotebasdepage"/>
          <w:rFonts w:cs="Arial"/>
          <w:lang w:val="fr-FR"/>
        </w:rPr>
        <w:footnoteReference w:id="11"/>
      </w:r>
      <w:r w:rsidRPr="0015333F">
        <w:rPr>
          <w:rFonts w:cs="Arial"/>
          <w:lang w:val="fr-FR"/>
        </w:rPr>
        <w:t>, permettant de ne s’adresser qu’à certains créanciers : les créanciers financiers</w:t>
      </w:r>
      <w:r w:rsidR="006A5E8D">
        <w:rPr>
          <w:rStyle w:val="Marquenotebasdepage"/>
          <w:rFonts w:cs="Arial"/>
          <w:lang w:val="fr-FR"/>
        </w:rPr>
        <w:footnoteReference w:id="12"/>
      </w:r>
      <w:r w:rsidRPr="0015333F">
        <w:rPr>
          <w:rFonts w:cs="Arial"/>
          <w:lang w:val="fr-FR"/>
        </w:rPr>
        <w:t xml:space="preserve">. </w:t>
      </w:r>
    </w:p>
    <w:p w14:paraId="64996609" w14:textId="62FFE4EB" w:rsidR="008C6603" w:rsidRPr="0015333F" w:rsidRDefault="008C6603" w:rsidP="00B33FE1">
      <w:pPr>
        <w:rPr>
          <w:rFonts w:cs="Arial"/>
          <w:lang w:val="fr-FR"/>
        </w:rPr>
      </w:pPr>
      <w:r w:rsidRPr="0015333F">
        <w:rPr>
          <w:rFonts w:cs="Arial"/>
          <w:lang w:val="fr-FR"/>
        </w:rPr>
        <w:t>Une fois ouverte, la SFA produit ses effets (arrêt des paiements, du cours des intérêts et des poursuites, etc.) uniquement à l</w:t>
      </w:r>
      <w:r w:rsidR="00B33FE1" w:rsidRPr="0015333F">
        <w:rPr>
          <w:rFonts w:cs="Arial"/>
          <w:lang w:val="fr-FR"/>
        </w:rPr>
        <w:t>’</w:t>
      </w:r>
      <w:r w:rsidRPr="0015333F">
        <w:rPr>
          <w:rFonts w:cs="Arial"/>
          <w:lang w:val="fr-FR"/>
        </w:rPr>
        <w:t>égard des établissements financiers et, le cas échéant, des créanciers obligataires (c</w:t>
      </w:r>
      <w:r w:rsidR="00B33FE1" w:rsidRPr="0015333F">
        <w:rPr>
          <w:rFonts w:cs="Arial"/>
          <w:lang w:val="fr-FR"/>
        </w:rPr>
        <w:t>’</w:t>
      </w:r>
      <w:r w:rsidRPr="0015333F">
        <w:rPr>
          <w:rFonts w:cs="Arial"/>
          <w:lang w:val="fr-FR"/>
        </w:rPr>
        <w:t>est-à-dire détenant des obligations de l</w:t>
      </w:r>
      <w:r w:rsidR="00B33FE1" w:rsidRPr="0015333F">
        <w:rPr>
          <w:rFonts w:cs="Arial"/>
          <w:lang w:val="fr-FR"/>
        </w:rPr>
        <w:t>’</w:t>
      </w:r>
      <w:r w:rsidRPr="0015333F">
        <w:rPr>
          <w:rFonts w:cs="Arial"/>
          <w:lang w:val="fr-FR"/>
        </w:rPr>
        <w:t>entreprise). C’est une sauvegarde à la carte.</w:t>
      </w:r>
    </w:p>
    <w:p w14:paraId="6BEC636C" w14:textId="35B7339E" w:rsidR="008C6603" w:rsidRPr="0015333F" w:rsidRDefault="008C6603" w:rsidP="00B33FE1">
      <w:pPr>
        <w:rPr>
          <w:rFonts w:cs="Arial"/>
          <w:lang w:val="fr-FR"/>
        </w:rPr>
      </w:pPr>
      <w:r w:rsidRPr="0015333F">
        <w:rPr>
          <w:rFonts w:cs="Arial"/>
          <w:lang w:val="fr-FR"/>
        </w:rPr>
        <w:t>Comment faire face à des créanciers aussi différents (un créancier senior certain d’être remboursé et un créancier junior certain de ne pas l’être) ? Comment faire face à des créanciers ayant, pour certains, déjà organisé une hiérarchie entre eux</w:t>
      </w:r>
      <w:r w:rsidR="00B33FE1" w:rsidRPr="0015333F">
        <w:rPr>
          <w:rFonts w:cs="Arial"/>
          <w:lang w:val="fr-FR"/>
        </w:rPr>
        <w:t> </w:t>
      </w:r>
      <w:r w:rsidRPr="0015333F">
        <w:rPr>
          <w:rFonts w:cs="Arial"/>
          <w:lang w:val="fr-FR"/>
        </w:rPr>
        <w:t>?</w:t>
      </w:r>
    </w:p>
    <w:p w14:paraId="66AF259C" w14:textId="77777777" w:rsidR="008C6603" w:rsidRPr="0015333F" w:rsidRDefault="008C6603" w:rsidP="00B33FE1">
      <w:pPr>
        <w:rPr>
          <w:rFonts w:cs="Arial"/>
          <w:lang w:val="fr-FR"/>
        </w:rPr>
      </w:pPr>
      <w:r w:rsidRPr="0015333F">
        <w:rPr>
          <w:rFonts w:cs="Arial"/>
          <w:lang w:val="fr-FR"/>
        </w:rPr>
        <w:t>Dès 2005, le législateur précise que « chaque projet de plan peut établir un traitement différencié entre les créanciers si les différences de situation le justifient ».</w:t>
      </w:r>
    </w:p>
    <w:p w14:paraId="6842C9C8" w14:textId="6277F1CE" w:rsidR="008C6603" w:rsidRPr="0015333F" w:rsidRDefault="008C6603" w:rsidP="00B33FE1">
      <w:pPr>
        <w:rPr>
          <w:rFonts w:cs="Arial"/>
          <w:lang w:val="fr-FR"/>
        </w:rPr>
      </w:pPr>
      <w:r w:rsidRPr="0015333F">
        <w:rPr>
          <w:rFonts w:cs="Arial"/>
          <w:lang w:val="fr-FR"/>
        </w:rPr>
        <w:t>Par ailleurs en 2010, le législateur a précisé au sein de l’article</w:t>
      </w:r>
      <w:r w:rsidR="00B33FE1" w:rsidRPr="0015333F">
        <w:rPr>
          <w:rFonts w:cs="Arial"/>
          <w:lang w:val="fr-FR"/>
        </w:rPr>
        <w:t> </w:t>
      </w:r>
      <w:r w:rsidRPr="0015333F">
        <w:rPr>
          <w:rFonts w:cs="Arial"/>
          <w:lang w:val="fr-FR"/>
        </w:rPr>
        <w:t>L.626-30-2 du Code de commerce que le plan «</w:t>
      </w:r>
      <w:r w:rsidR="00B33FE1" w:rsidRPr="0015333F">
        <w:rPr>
          <w:rFonts w:cs="Arial"/>
          <w:lang w:val="fr-FR"/>
        </w:rPr>
        <w:t> </w:t>
      </w:r>
      <w:r w:rsidRPr="0015333F">
        <w:rPr>
          <w:rFonts w:cs="Arial"/>
          <w:lang w:val="fr-FR"/>
        </w:rPr>
        <w:t>prend en compte les accords de subordination entre créanciers conclus avant l</w:t>
      </w:r>
      <w:r w:rsidR="00B33FE1" w:rsidRPr="0015333F">
        <w:rPr>
          <w:rFonts w:cs="Arial"/>
          <w:lang w:val="fr-FR"/>
        </w:rPr>
        <w:t>’</w:t>
      </w:r>
      <w:r w:rsidRPr="0015333F">
        <w:rPr>
          <w:rFonts w:cs="Arial"/>
          <w:lang w:val="fr-FR"/>
        </w:rPr>
        <w:t>ouverture de la procédure. ».</w:t>
      </w:r>
    </w:p>
    <w:p w14:paraId="6543DE03" w14:textId="4A4D3A14" w:rsidR="008C6603" w:rsidRPr="0015333F" w:rsidRDefault="008C6603" w:rsidP="00B33FE1">
      <w:pPr>
        <w:rPr>
          <w:rFonts w:cs="Arial"/>
          <w:lang w:val="fr-FR"/>
        </w:rPr>
      </w:pPr>
      <w:r w:rsidRPr="0015333F">
        <w:rPr>
          <w:rFonts w:cs="Arial"/>
          <w:lang w:val="fr-FR"/>
        </w:rPr>
        <w:t>De l’autre côté du spectre les créanciers les mieux garantis</w:t>
      </w:r>
      <w:r w:rsidR="00B33FE1" w:rsidRPr="0015333F">
        <w:rPr>
          <w:rFonts w:cs="Arial"/>
          <w:lang w:val="fr-FR"/>
        </w:rPr>
        <w:t> </w:t>
      </w:r>
      <w:r w:rsidRPr="0015333F">
        <w:rPr>
          <w:rFonts w:cs="Arial"/>
          <w:lang w:val="fr-FR"/>
        </w:rPr>
        <w:t>: « </w:t>
      </w:r>
      <w:r w:rsidR="006A5E8D">
        <w:rPr>
          <w:rFonts w:cs="Arial"/>
          <w:lang w:val="fr-FR"/>
        </w:rPr>
        <w:t>n</w:t>
      </w:r>
      <w:r w:rsidRPr="0015333F">
        <w:rPr>
          <w:rFonts w:cs="Arial"/>
          <w:lang w:val="fr-FR"/>
        </w:rPr>
        <w:t xml:space="preserve">e prennent pas part au vote les créanciers pour lesquels le projet de plan </w:t>
      </w:r>
      <w:r w:rsidR="000A1956">
        <w:rPr>
          <w:rFonts w:cs="Arial"/>
          <w:lang w:val="fr-FR"/>
        </w:rPr>
        <w:t>[</w:t>
      </w:r>
      <w:r w:rsidRPr="0015333F">
        <w:rPr>
          <w:rFonts w:cs="Arial"/>
          <w:lang w:val="fr-FR"/>
        </w:rPr>
        <w:t>…</w:t>
      </w:r>
      <w:r w:rsidR="000A1956">
        <w:rPr>
          <w:rFonts w:cs="Arial"/>
          <w:lang w:val="fr-FR"/>
        </w:rPr>
        <w:t>]</w:t>
      </w:r>
      <w:r w:rsidRPr="0015333F">
        <w:rPr>
          <w:rFonts w:cs="Arial"/>
          <w:lang w:val="fr-FR"/>
        </w:rPr>
        <w:t xml:space="preserve"> prévoit un paiement intégral en numéraire</w:t>
      </w:r>
      <w:r w:rsidR="006A5E8D">
        <w:rPr>
          <w:rFonts w:cs="Arial"/>
          <w:lang w:val="fr-FR"/>
        </w:rPr>
        <w:t> ».</w:t>
      </w:r>
    </w:p>
    <w:p w14:paraId="3136A652" w14:textId="63DF2749" w:rsidR="000C4857" w:rsidRPr="000C4857" w:rsidRDefault="006A5E8D" w:rsidP="00B33FE1">
      <w:pPr>
        <w:rPr>
          <w:rFonts w:cs="Arial"/>
          <w:lang w:val="fr-FR"/>
        </w:rPr>
      </w:pPr>
      <w:r>
        <w:rPr>
          <w:rFonts w:cs="Arial"/>
          <w:lang w:val="fr-FR"/>
        </w:rPr>
        <w:t>M</w:t>
      </w:r>
      <w:r w:rsidR="008C6603" w:rsidRPr="0015333F">
        <w:rPr>
          <w:rFonts w:cs="Arial"/>
          <w:lang w:val="fr-FR"/>
        </w:rPr>
        <w:t xml:space="preserve">algré ces multiples réformes (2005, 2008, 2010, 2014…), certaines questions persistent face à certains montages spécifiques. </w:t>
      </w:r>
    </w:p>
    <w:p w14:paraId="2AE07F14" w14:textId="3A969B91" w:rsidR="008C6603" w:rsidRPr="00E053DE" w:rsidRDefault="008C6603" w:rsidP="00B33FE1">
      <w:pPr>
        <w:pStyle w:val="Titre1"/>
        <w:jc w:val="both"/>
        <w:rPr>
          <w:lang w:val="bg-BG"/>
        </w:rPr>
      </w:pPr>
      <w:r w:rsidRPr="00E053DE">
        <w:rPr>
          <w:spacing w:val="0"/>
          <w:lang w:val="bg-BG"/>
        </w:rPr>
        <w:t xml:space="preserve">§ 2 – </w:t>
      </w:r>
      <w:r w:rsidRPr="00E053DE">
        <w:rPr>
          <w:lang w:val="bg-BG"/>
        </w:rPr>
        <w:t>Les problèmes persistants dans le traitement des financements structurés durant les procédures collectives</w:t>
      </w:r>
    </w:p>
    <w:p w14:paraId="0177EABA" w14:textId="0ABB5E74" w:rsidR="008C6603" w:rsidRPr="0015333F" w:rsidRDefault="008C6603" w:rsidP="00B33FE1">
      <w:pPr>
        <w:rPr>
          <w:rFonts w:cs="Arial"/>
          <w:lang w:val="fr-FR"/>
        </w:rPr>
      </w:pPr>
      <w:r w:rsidRPr="0015333F">
        <w:rPr>
          <w:rFonts w:cs="Arial"/>
          <w:lang w:val="fr-FR"/>
        </w:rPr>
        <w:t>Nous avions évoqué l</w:t>
      </w:r>
      <w:r w:rsidR="00B33FE1" w:rsidRPr="0015333F">
        <w:rPr>
          <w:rFonts w:cs="Arial"/>
          <w:lang w:val="fr-FR"/>
        </w:rPr>
        <w:t>’</w:t>
      </w:r>
      <w:r w:rsidRPr="0015333F">
        <w:rPr>
          <w:rFonts w:cs="Arial"/>
          <w:lang w:val="fr-FR"/>
        </w:rPr>
        <w:t>utilisation des limites de la procédure collective par certains montages, notamment l’utilisation des limites de la procédure collective dont :</w:t>
      </w:r>
    </w:p>
    <w:p w14:paraId="65F76CD5" w14:textId="2114DE49" w:rsidR="00110DE8" w:rsidRDefault="00110DE8" w:rsidP="00110DE8">
      <w:pPr>
        <w:rPr>
          <w:rFonts w:cs="Arial"/>
          <w:lang w:val="fr-FR"/>
        </w:rPr>
      </w:pPr>
      <w:r>
        <w:rPr>
          <w:rFonts w:cs="Arial"/>
          <w:lang w:val="fr-FR"/>
        </w:rPr>
        <w:t xml:space="preserve">– </w:t>
      </w:r>
      <w:r w:rsidR="008C6603" w:rsidRPr="00110DE8">
        <w:rPr>
          <w:rFonts w:cs="Arial"/>
          <w:lang w:val="fr-FR"/>
        </w:rPr>
        <w:t>Les limites territoriales : nous étudierons en premier lieu le cas d’un montage aboutissant à transférer un actif hors du territoire français : la « double Lux Co »</w:t>
      </w:r>
      <w:r w:rsidR="006A5E8D">
        <w:rPr>
          <w:rStyle w:val="Marquenotebasdepage"/>
          <w:rFonts w:cs="Arial"/>
          <w:lang w:val="fr-FR"/>
        </w:rPr>
        <w:footnoteReference w:id="13"/>
      </w:r>
      <w:r>
        <w:rPr>
          <w:rFonts w:cs="Arial"/>
          <w:lang w:val="fr-FR"/>
        </w:rPr>
        <w:t>.</w:t>
      </w:r>
    </w:p>
    <w:p w14:paraId="417E7671" w14:textId="1873C481" w:rsidR="008C6603" w:rsidRPr="00110DE8" w:rsidRDefault="00110DE8" w:rsidP="00110DE8">
      <w:pPr>
        <w:rPr>
          <w:rFonts w:cs="Arial"/>
          <w:lang w:val="fr-FR"/>
        </w:rPr>
      </w:pPr>
      <w:r>
        <w:rPr>
          <w:rFonts w:cs="Arial"/>
          <w:lang w:val="fr-FR"/>
        </w:rPr>
        <w:lastRenderedPageBreak/>
        <w:t xml:space="preserve">– </w:t>
      </w:r>
      <w:r w:rsidR="008C6603" w:rsidRPr="00110DE8">
        <w:rPr>
          <w:rFonts w:cs="Arial"/>
          <w:lang w:val="fr-FR"/>
        </w:rPr>
        <w:t xml:space="preserve">Les limites </w:t>
      </w:r>
      <w:r w:rsidR="006A5E8D">
        <w:rPr>
          <w:rFonts w:cs="Arial"/>
          <w:lang w:val="fr-FR"/>
        </w:rPr>
        <w:t>réelles</w:t>
      </w:r>
      <w:r w:rsidR="008C6603" w:rsidRPr="00110DE8">
        <w:rPr>
          <w:rFonts w:cs="Arial"/>
          <w:lang w:val="fr-FR"/>
        </w:rPr>
        <w:t xml:space="preserve"> : nous étudierons dans un second temps le cas d’une subordination contractuelle  qui, plutôt que d’organiser les rapports entre débiteur et créanciers, préfère organiser les rapports entre créanciers.  </w:t>
      </w:r>
    </w:p>
    <w:p w14:paraId="2B929CB3" w14:textId="1FA71A49" w:rsidR="008C6603" w:rsidRPr="0015333F" w:rsidRDefault="008C6603" w:rsidP="00B33FE1">
      <w:pPr>
        <w:pStyle w:val="Titre2"/>
        <w:numPr>
          <w:ilvl w:val="0"/>
          <w:numId w:val="35"/>
        </w:numPr>
        <w:rPr>
          <w:lang w:val="fr-FR"/>
        </w:rPr>
      </w:pPr>
      <w:r w:rsidRPr="0015333F">
        <w:rPr>
          <w:lang w:val="fr-FR"/>
        </w:rPr>
        <w:t>Le cas d’un SPV spécifique : le mécanisme de la double « Lux co »</w:t>
      </w:r>
    </w:p>
    <w:p w14:paraId="5D41E0A7" w14:textId="37B85136" w:rsidR="008C6603" w:rsidRPr="0015333F" w:rsidRDefault="008C6603" w:rsidP="00110DE8">
      <w:pPr>
        <w:pStyle w:val="Paragraphedeliste"/>
        <w:ind w:left="0"/>
        <w:contextualSpacing w:val="0"/>
        <w:rPr>
          <w:rFonts w:cs="Arial"/>
          <w:b/>
          <w:lang w:val="fr-FR"/>
        </w:rPr>
      </w:pPr>
      <w:r w:rsidRPr="0015333F">
        <w:rPr>
          <w:rFonts w:cs="Arial"/>
          <w:b/>
          <w:lang w:val="fr-FR"/>
        </w:rPr>
        <w:t xml:space="preserve">Le cas de la double « Lux co » </w:t>
      </w:r>
      <w:r w:rsidRPr="0015333F">
        <w:rPr>
          <w:rFonts w:cs="Arial"/>
          <w:b/>
          <w:lang w:val="fr-FR"/>
        </w:rPr>
        <w:tab/>
      </w:r>
      <w:r w:rsidRPr="0015333F">
        <w:rPr>
          <w:rFonts w:cs="Arial"/>
          <w:b/>
          <w:lang w:val="fr-FR"/>
        </w:rPr>
        <w:br/>
      </w:r>
      <w:r w:rsidRPr="0015333F">
        <w:rPr>
          <w:rFonts w:cs="Arial"/>
          <w:lang w:val="fr-FR"/>
        </w:rPr>
        <w:t>L’objectif du montage est de soumettre les sûretés au droit luxembourgeois.</w:t>
      </w:r>
      <w:r w:rsidRPr="0015333F">
        <w:rPr>
          <w:rFonts w:cs="Arial"/>
          <w:b/>
          <w:lang w:val="fr-FR"/>
        </w:rPr>
        <w:t xml:space="preserve"> </w:t>
      </w:r>
      <w:r w:rsidRPr="0015333F">
        <w:rPr>
          <w:rFonts w:cs="Arial"/>
          <w:lang w:val="fr-FR"/>
        </w:rPr>
        <w:t>Cette structure devait permettre de réaliser les sûretés dans le cadre du droit luxembourgeois réputé plus favorable à la mise en œuvre des garanties. Le débiteur possède un bien (ex : immeuble en France</w:t>
      </w:r>
      <w:r w:rsidR="00B33FE1" w:rsidRPr="0015333F">
        <w:rPr>
          <w:rFonts w:cs="Arial"/>
          <w:lang w:val="fr-FR"/>
        </w:rPr>
        <w:t>/</w:t>
      </w:r>
      <w:r w:rsidRPr="0015333F">
        <w:rPr>
          <w:rFonts w:cs="Arial"/>
          <w:lang w:val="fr-FR"/>
        </w:rPr>
        <w:t>société française), le créancier préfèrerait être soumis au droit luxembourgeois (une petit</w:t>
      </w:r>
      <w:r w:rsidR="00B33FE1" w:rsidRPr="0015333F">
        <w:rPr>
          <w:rFonts w:cs="Arial"/>
          <w:lang w:val="fr-FR"/>
        </w:rPr>
        <w:t>e</w:t>
      </w:r>
      <w:r w:rsidRPr="0015333F">
        <w:rPr>
          <w:rFonts w:cs="Arial"/>
          <w:lang w:val="fr-FR"/>
        </w:rPr>
        <w:t xml:space="preserve"> principauté réputée favorable au créancier). Si le mécanisme fonctionne, il pourrait entrainer une réduction de l’aspect collectif des procédures d’insolvabilité.  </w:t>
      </w:r>
      <w:r w:rsidR="00110DE8">
        <w:rPr>
          <w:rFonts w:cs="Arial"/>
          <w:lang w:val="fr-FR"/>
        </w:rPr>
        <w:tab/>
      </w:r>
      <w:r w:rsidRPr="0015333F">
        <w:rPr>
          <w:rFonts w:cs="Arial"/>
          <w:b/>
          <w:lang w:val="fr-FR"/>
        </w:rPr>
        <w:br/>
      </w:r>
      <w:r w:rsidRPr="0015333F">
        <w:rPr>
          <w:rFonts w:cs="Arial"/>
          <w:lang w:val="fr-FR"/>
        </w:rPr>
        <w:t>Ce montage classique en matière de financement structuré s’appuie sur une société luxembourgeoise dite Lux-Co. Ce montage consiste à positionner au-dessus de la holding française une société holding créée et domiciliée au Luxembourg. Les praticiens ont tenté d’améliorer le montage en ajoutant à la première holding (Lux-Co 1) détenant les titres de la société holding française, une seconde holding (Lux-Co2) détenant les titres de la société holding luxembourgeoise (la Lux-Co</w:t>
      </w:r>
      <w:r w:rsidR="00B33FE1" w:rsidRPr="0015333F">
        <w:rPr>
          <w:rFonts w:cs="Arial"/>
          <w:lang w:val="fr-FR"/>
        </w:rPr>
        <w:t> </w:t>
      </w:r>
      <w:r w:rsidRPr="0015333F">
        <w:rPr>
          <w:rFonts w:cs="Arial"/>
          <w:lang w:val="fr-FR"/>
        </w:rPr>
        <w:t>1). Chacune de ces holdings (Lux-Co</w:t>
      </w:r>
      <w:r w:rsidR="00B33FE1" w:rsidRPr="0015333F">
        <w:rPr>
          <w:rFonts w:cs="Arial"/>
          <w:lang w:val="fr-FR"/>
        </w:rPr>
        <w:t> </w:t>
      </w:r>
      <w:r w:rsidRPr="0015333F">
        <w:rPr>
          <w:rFonts w:cs="Arial"/>
          <w:lang w:val="fr-FR"/>
        </w:rPr>
        <w:t>1 et Lux-Co</w:t>
      </w:r>
      <w:r w:rsidR="00B33FE1" w:rsidRPr="0015333F">
        <w:rPr>
          <w:rFonts w:cs="Arial"/>
          <w:lang w:val="fr-FR"/>
        </w:rPr>
        <w:t> </w:t>
      </w:r>
      <w:r w:rsidRPr="0015333F">
        <w:rPr>
          <w:rFonts w:cs="Arial"/>
          <w:lang w:val="fr-FR"/>
        </w:rPr>
        <w:t>2) se consentant un nantissement des titres détenus (respectivement sur la holding française et sur la Lux-Co</w:t>
      </w:r>
      <w:r w:rsidR="00B33FE1" w:rsidRPr="0015333F">
        <w:rPr>
          <w:rFonts w:cs="Arial"/>
          <w:lang w:val="fr-FR"/>
        </w:rPr>
        <w:t> </w:t>
      </w:r>
      <w:r w:rsidRPr="0015333F">
        <w:rPr>
          <w:rFonts w:cs="Arial"/>
          <w:lang w:val="fr-FR"/>
        </w:rPr>
        <w:t>1) en garantie supplémentaire au prêt bancaire consenti à la holding française.</w:t>
      </w:r>
      <w:r w:rsidR="00110DE8">
        <w:rPr>
          <w:rFonts w:cs="Arial"/>
          <w:lang w:val="fr-FR"/>
        </w:rPr>
        <w:tab/>
      </w:r>
      <w:r w:rsidRPr="0015333F">
        <w:rPr>
          <w:rFonts w:cs="Arial"/>
          <w:b/>
          <w:lang w:val="fr-FR"/>
        </w:rPr>
        <w:br/>
      </w:r>
      <w:r w:rsidRPr="0015333F">
        <w:rPr>
          <w:rFonts w:cs="Arial"/>
          <w:lang w:val="fr-FR"/>
        </w:rPr>
        <w:t>Le fonctionnement du mécanisme repose sur l’utilisation des limites de la procédure collective</w:t>
      </w:r>
      <w:r w:rsidRPr="0015333F">
        <w:rPr>
          <w:rStyle w:val="Marquenotebasdepage"/>
          <w:rFonts w:cs="Arial"/>
          <w:lang w:val="fr-FR"/>
        </w:rPr>
        <w:footnoteReference w:id="14"/>
      </w:r>
      <w:r w:rsidRPr="0015333F">
        <w:rPr>
          <w:rFonts w:cs="Arial"/>
          <w:lang w:val="fr-FR"/>
        </w:rPr>
        <w:t> :</w:t>
      </w:r>
    </w:p>
    <w:p w14:paraId="43545ACF" w14:textId="7672F87C" w:rsidR="008C6603" w:rsidRPr="00110DE8" w:rsidRDefault="00110DE8" w:rsidP="00110DE8">
      <w:pPr>
        <w:rPr>
          <w:rFonts w:cs="Arial"/>
          <w:lang w:val="fr-FR"/>
        </w:rPr>
      </w:pPr>
      <w:r>
        <w:rPr>
          <w:rFonts w:cs="Arial"/>
          <w:lang w:val="fr-FR"/>
        </w:rPr>
        <w:t xml:space="preserve">– </w:t>
      </w:r>
      <w:r w:rsidR="008C6603" w:rsidRPr="00110DE8">
        <w:rPr>
          <w:rFonts w:cs="Arial"/>
          <w:lang w:val="fr-FR"/>
        </w:rPr>
        <w:t>L’utilisation des limites réelles permet un traitement séparé du véhicule localisé à l’étranger et du reste du groupe. Ce traitement séparé présente un intérêt lorsque la situation patrimoniale, financière ou commerciale de la filiale est moins obérée que celle de la société mère. Il accroit les chances d’obtenir un désintéressement plus important du créancier. </w:t>
      </w:r>
    </w:p>
    <w:p w14:paraId="162C7F82" w14:textId="58C22DBE" w:rsidR="008C6603" w:rsidRPr="00110DE8" w:rsidRDefault="00110DE8" w:rsidP="00110DE8">
      <w:pPr>
        <w:rPr>
          <w:rFonts w:cs="Arial"/>
          <w:lang w:val="fr-FR"/>
        </w:rPr>
      </w:pPr>
      <w:r>
        <w:rPr>
          <w:rFonts w:cs="Arial"/>
          <w:lang w:val="fr-FR"/>
        </w:rPr>
        <w:t xml:space="preserve">– </w:t>
      </w:r>
      <w:r w:rsidR="008C6603" w:rsidRPr="00110DE8">
        <w:rPr>
          <w:rFonts w:cs="Arial"/>
          <w:lang w:val="fr-FR"/>
        </w:rPr>
        <w:t>L’utilisation des limites territoriales visant à choisir le droit applicable. On est face à « une augmentation des cas d’évitement de certains droits nationaux »</w:t>
      </w:r>
      <w:r w:rsidR="008C6603" w:rsidRPr="0015333F">
        <w:rPr>
          <w:rStyle w:val="Marquenotebasdepage"/>
          <w:rFonts w:cs="Arial"/>
          <w:lang w:val="fr-FR"/>
        </w:rPr>
        <w:footnoteReference w:id="15"/>
      </w:r>
      <w:r w:rsidR="008C6603" w:rsidRPr="00110DE8">
        <w:rPr>
          <w:rFonts w:cs="Arial"/>
          <w:lang w:val="fr-FR"/>
        </w:rPr>
        <w:t xml:space="preserve"> exploités par les créanciers. Le droit retenu sera souvent celui qui permet une restriction plus limitée des droits du créancier et la préservation de l</w:t>
      </w:r>
      <w:r w:rsidR="00B33FE1" w:rsidRPr="00110DE8">
        <w:rPr>
          <w:rFonts w:cs="Arial"/>
          <w:lang w:val="fr-FR"/>
        </w:rPr>
        <w:t>’</w:t>
      </w:r>
      <w:r w:rsidR="008C6603" w:rsidRPr="00110DE8">
        <w:rPr>
          <w:rFonts w:cs="Arial"/>
          <w:lang w:val="fr-FR"/>
        </w:rPr>
        <w:t>efficacité des sûretés.</w:t>
      </w:r>
    </w:p>
    <w:p w14:paraId="4200054F" w14:textId="77777777" w:rsidR="008C6603" w:rsidRPr="0015333F" w:rsidRDefault="008C6603" w:rsidP="00110DE8">
      <w:pPr>
        <w:pStyle w:val="Paragraphedeliste"/>
        <w:ind w:left="0"/>
        <w:rPr>
          <w:rFonts w:cs="Arial"/>
          <w:lang w:val="fr-FR"/>
        </w:rPr>
      </w:pPr>
      <w:r w:rsidRPr="0015333F">
        <w:rPr>
          <w:rFonts w:cs="Arial"/>
          <w:lang w:val="fr-FR"/>
        </w:rPr>
        <w:t>La double Lux-co s’appuie sur un mécanisme à double détente.</w:t>
      </w:r>
    </w:p>
    <w:p w14:paraId="304CE185" w14:textId="77777777" w:rsidR="008C6603" w:rsidRPr="0015333F" w:rsidRDefault="008C6603" w:rsidP="00110DE8">
      <w:pPr>
        <w:pStyle w:val="Paragraphedeliste"/>
        <w:ind w:left="0"/>
        <w:rPr>
          <w:rFonts w:cs="Arial"/>
          <w:b/>
          <w:lang w:val="fr-FR"/>
        </w:rPr>
      </w:pPr>
      <w:r w:rsidRPr="0015333F">
        <w:rPr>
          <w:rFonts w:cs="Arial"/>
          <w:lang w:val="fr-FR"/>
        </w:rPr>
        <w:lastRenderedPageBreak/>
        <w:t xml:space="preserve">La première détente consiste à localiser le COMI au Luxembourg (Center Of Main </w:t>
      </w:r>
      <w:proofErr w:type="spellStart"/>
      <w:r w:rsidRPr="0015333F">
        <w:rPr>
          <w:rFonts w:cs="Arial"/>
          <w:lang w:val="fr-FR"/>
        </w:rPr>
        <w:t>Interest</w:t>
      </w:r>
      <w:proofErr w:type="spellEnd"/>
      <w:r w:rsidRPr="0015333F">
        <w:rPr>
          <w:rFonts w:cs="Arial"/>
          <w:lang w:val="fr-FR"/>
        </w:rPr>
        <w:t>). En droit européen, le COMI est l’endroit qui est perçu par les tiers</w:t>
      </w:r>
      <w:r w:rsidRPr="0015333F">
        <w:rPr>
          <w:rStyle w:val="Marquenotebasdepage"/>
          <w:rFonts w:cs="Arial"/>
          <w:lang w:val="fr-FR"/>
        </w:rPr>
        <w:footnoteReference w:id="16"/>
      </w:r>
      <w:r w:rsidRPr="0015333F">
        <w:rPr>
          <w:rFonts w:cs="Arial"/>
          <w:lang w:val="fr-FR"/>
        </w:rPr>
        <w:t xml:space="preserve"> comme le centre des affaires de la société. Si celui-ci est au Luxembourg, la procédure collective sera soumise au droit luxembourgeois.</w:t>
      </w:r>
      <w:r w:rsidRPr="0015333F">
        <w:rPr>
          <w:rFonts w:cs="Arial"/>
          <w:b/>
          <w:lang w:val="fr-FR"/>
        </w:rPr>
        <w:t xml:space="preserve">  </w:t>
      </w:r>
    </w:p>
    <w:p w14:paraId="5D3FAE14" w14:textId="53512DCD" w:rsidR="008C6603" w:rsidRPr="0015333F" w:rsidRDefault="008C6603" w:rsidP="00B33FE1">
      <w:pPr>
        <w:pStyle w:val="Paragraphedeliste"/>
        <w:spacing w:after="120"/>
        <w:ind w:left="0"/>
        <w:rPr>
          <w:rFonts w:cs="Arial"/>
          <w:lang w:val="fr-FR"/>
        </w:rPr>
      </w:pPr>
      <w:r w:rsidRPr="0015333F">
        <w:rPr>
          <w:rFonts w:cs="Arial"/>
          <w:lang w:val="fr-FR"/>
        </w:rPr>
        <w:t>L’article</w:t>
      </w:r>
      <w:r w:rsidR="00B33FE1" w:rsidRPr="0015333F">
        <w:rPr>
          <w:rFonts w:cs="Arial"/>
          <w:lang w:val="fr-FR"/>
        </w:rPr>
        <w:t> </w:t>
      </w:r>
      <w:r w:rsidRPr="0015333F">
        <w:rPr>
          <w:rFonts w:cs="Arial"/>
          <w:lang w:val="fr-FR"/>
        </w:rPr>
        <w:t>3 du Règlement n° 1346/2000 et du Règlement n°</w:t>
      </w:r>
      <w:r w:rsidR="00B33FE1" w:rsidRPr="0015333F">
        <w:rPr>
          <w:rFonts w:cs="Arial"/>
          <w:lang w:val="fr-FR"/>
        </w:rPr>
        <w:t> </w:t>
      </w:r>
      <w:r w:rsidRPr="0015333F">
        <w:rPr>
          <w:rFonts w:cs="Arial"/>
          <w:lang w:val="fr-FR"/>
        </w:rPr>
        <w:t>2015/848 présume que le COMI d</w:t>
      </w:r>
      <w:r w:rsidR="00B33FE1" w:rsidRPr="0015333F">
        <w:rPr>
          <w:rFonts w:cs="Arial"/>
          <w:lang w:val="fr-FR"/>
        </w:rPr>
        <w:t>’</w:t>
      </w:r>
      <w:r w:rsidRPr="0015333F">
        <w:rPr>
          <w:rFonts w:cs="Arial"/>
          <w:lang w:val="fr-FR"/>
        </w:rPr>
        <w:t>une personne morale se situe dans l</w:t>
      </w:r>
      <w:r w:rsidR="00B33FE1" w:rsidRPr="0015333F">
        <w:rPr>
          <w:rFonts w:cs="Arial"/>
          <w:lang w:val="fr-FR"/>
        </w:rPr>
        <w:t>’</w:t>
      </w:r>
      <w:r w:rsidRPr="0015333F">
        <w:rPr>
          <w:rFonts w:cs="Arial"/>
          <w:lang w:val="fr-FR"/>
        </w:rPr>
        <w:t>État membre où est localisé son siège statutaire.</w:t>
      </w:r>
    </w:p>
    <w:p w14:paraId="370DFB44" w14:textId="4E52AC6C" w:rsidR="008C6603" w:rsidRPr="0015333F" w:rsidRDefault="008C6603" w:rsidP="002B647C">
      <w:pPr>
        <w:pStyle w:val="Paragraphedeliste"/>
        <w:ind w:left="0"/>
        <w:contextualSpacing w:val="0"/>
        <w:rPr>
          <w:rFonts w:cs="Arial"/>
          <w:lang w:val="fr-FR"/>
        </w:rPr>
      </w:pPr>
      <w:r w:rsidRPr="0015333F">
        <w:rPr>
          <w:rFonts w:cs="Arial"/>
          <w:lang w:val="fr-FR"/>
        </w:rPr>
        <w:t>La première holding luxembourgeoise a pour objectif de localiser le COMI au Luxembourg (administrateurs localisés au Luxembourg, les réunions des organes de directions, les négociations et la signature des contrats au Luxembourg, des clauses de maintien du COMI au Luxembourg sont mises en place</w:t>
      </w:r>
      <w:r w:rsidR="00C41113">
        <w:rPr>
          <w:rStyle w:val="Marquenotebasdepage"/>
          <w:rFonts w:cs="Arial"/>
          <w:lang w:val="fr-FR"/>
        </w:rPr>
        <w:footnoteReference w:id="17"/>
      </w:r>
      <w:r w:rsidRPr="0015333F">
        <w:rPr>
          <w:rFonts w:cs="Arial"/>
          <w:lang w:val="fr-FR"/>
        </w:rPr>
        <w:t>…).</w:t>
      </w:r>
      <w:r w:rsidRPr="0015333F">
        <w:rPr>
          <w:rFonts w:cs="Arial"/>
          <w:lang w:val="fr-FR"/>
        </w:rPr>
        <w:br/>
        <w:t xml:space="preserve">La procédure contre la Lux-co devrait donc en théorie être ouverte au Luxembourg. Cette présomption est cependant </w:t>
      </w:r>
      <w:proofErr w:type="spellStart"/>
      <w:r w:rsidRPr="0015333F">
        <w:rPr>
          <w:rFonts w:cs="Arial"/>
          <w:lang w:val="fr-FR"/>
        </w:rPr>
        <w:t>réfragable</w:t>
      </w:r>
      <w:proofErr w:type="spellEnd"/>
      <w:r w:rsidRPr="0015333F">
        <w:rPr>
          <w:rFonts w:cs="Arial"/>
          <w:lang w:val="fr-FR"/>
        </w:rPr>
        <w:t>. Pour renforcer les chances de faire reconnaitre au juge l’existence d’un COMI luxembourgeois, en plus de la domiciliation de la holding, on nomme des administrateurs locaux et les réunions des organes de directions, les négociations et la signature des contrats se font au Luxembourg. Mais la notion de COMI est exigeante, il existe un risque que le juge considère, malgré ces éléments, que le « cœur</w:t>
      </w:r>
      <w:r w:rsidR="00110DE8">
        <w:rPr>
          <w:rFonts w:cs="Arial"/>
          <w:lang w:val="fr-FR"/>
        </w:rPr>
        <w:t xml:space="preserve"> des affaires » est en France. </w:t>
      </w:r>
      <w:r w:rsidRPr="0015333F">
        <w:rPr>
          <w:rFonts w:cs="Arial"/>
          <w:lang w:val="fr-FR"/>
        </w:rPr>
        <w:br/>
        <w:t>Le risque était que, malgré la présomption simple</w:t>
      </w:r>
      <w:r w:rsidRPr="0015333F">
        <w:rPr>
          <w:rStyle w:val="Marquenotebasdepage"/>
          <w:rFonts w:cs="Arial"/>
          <w:lang w:val="fr-FR"/>
        </w:rPr>
        <w:footnoteReference w:id="18"/>
      </w:r>
      <w:r w:rsidRPr="0015333F">
        <w:rPr>
          <w:rFonts w:eastAsia="Calibri" w:cs="Arial"/>
          <w:lang w:val="fr-FR"/>
        </w:rPr>
        <w:t xml:space="preserve"> </w:t>
      </w:r>
      <w:r w:rsidRPr="0015333F">
        <w:rPr>
          <w:rFonts w:cs="Arial"/>
          <w:lang w:val="fr-FR"/>
        </w:rPr>
        <w:t>fixant le centre des intérêts principaux d</w:t>
      </w:r>
      <w:r w:rsidR="00B33FE1" w:rsidRPr="0015333F">
        <w:rPr>
          <w:rFonts w:cs="Arial"/>
          <w:lang w:val="fr-FR"/>
        </w:rPr>
        <w:t>’</w:t>
      </w:r>
      <w:r w:rsidRPr="0015333F">
        <w:rPr>
          <w:rFonts w:cs="Arial"/>
          <w:lang w:val="fr-FR"/>
        </w:rPr>
        <w:t>un débiteur dans la juridiction de son siège statutaire, la procédure soit ouverte dans la juridiction où étaient localisés les actifs. Cette crainte des praticiens a été amplifiée suite à l’affaire Cœur défense</w:t>
      </w:r>
      <w:r w:rsidRPr="0015333F">
        <w:rPr>
          <w:rStyle w:val="Marquenotebasdepage"/>
          <w:rFonts w:cs="Arial"/>
          <w:lang w:val="fr-FR"/>
        </w:rPr>
        <w:footnoteReference w:id="19"/>
      </w:r>
      <w:r w:rsidRPr="0015333F">
        <w:rPr>
          <w:rFonts w:cs="Arial"/>
          <w:lang w:val="fr-FR"/>
        </w:rPr>
        <w:t>. Les praticiens ont donc tenté</w:t>
      </w:r>
      <w:r w:rsidRPr="0015333F">
        <w:rPr>
          <w:rFonts w:eastAsia="Calibri" w:cs="Arial"/>
          <w:lang w:val="fr-FR"/>
        </w:rPr>
        <w:t xml:space="preserve"> </w:t>
      </w:r>
      <w:r w:rsidRPr="0015333F">
        <w:rPr>
          <w:rFonts w:cs="Arial"/>
          <w:lang w:val="fr-FR"/>
        </w:rPr>
        <w:t>d’améliorer le montage en ajoutant à la première holding (Lux-Co 1) détenant les titres de la société holding française, une seconde holding (Lux-Co2) détenant les titres de la société holding luxembourgeoise (la Lux-Co</w:t>
      </w:r>
      <w:r w:rsidR="00B33FE1" w:rsidRPr="0015333F">
        <w:rPr>
          <w:rFonts w:cs="Arial"/>
          <w:lang w:val="fr-FR"/>
        </w:rPr>
        <w:t> </w:t>
      </w:r>
      <w:r w:rsidRPr="0015333F">
        <w:rPr>
          <w:rFonts w:cs="Arial"/>
          <w:lang w:val="fr-FR"/>
        </w:rPr>
        <w:t>1).</w:t>
      </w:r>
      <w:r w:rsidRPr="0015333F">
        <w:rPr>
          <w:rFonts w:cs="Arial"/>
          <w:lang w:val="fr-FR"/>
        </w:rPr>
        <w:tab/>
      </w:r>
      <w:r w:rsidRPr="0015333F">
        <w:rPr>
          <w:rFonts w:cs="Arial"/>
          <w:lang w:val="fr-FR"/>
        </w:rPr>
        <w:br/>
        <w:t>La seconde détente consiste à tenter de localiser le bien au Luxembourg. L’ouverture de la procédure d’insolvabilité n’affecte pas le droit réel d’un créancier ou d’un tiers sur des biens corporels ou incorporels qui se trouvent, au moment de l’ouverture de la procédure, sur le territoire d’un autre état membre.</w:t>
      </w:r>
      <w:r w:rsidRPr="0015333F">
        <w:rPr>
          <w:rFonts w:cs="Arial"/>
          <w:lang w:val="fr-FR"/>
        </w:rPr>
        <w:br/>
        <w:t xml:space="preserve">La règle rappelle une loi connue en droit international privé : la </w:t>
      </w:r>
      <w:proofErr w:type="spellStart"/>
      <w:r w:rsidRPr="00110DE8">
        <w:rPr>
          <w:rFonts w:cs="Arial"/>
          <w:i/>
          <w:lang w:val="fr-FR"/>
        </w:rPr>
        <w:lastRenderedPageBreak/>
        <w:t>lex</w:t>
      </w:r>
      <w:proofErr w:type="spellEnd"/>
      <w:r w:rsidRPr="00110DE8">
        <w:rPr>
          <w:rFonts w:cs="Arial"/>
          <w:i/>
          <w:lang w:val="fr-FR"/>
        </w:rPr>
        <w:t xml:space="preserve"> </w:t>
      </w:r>
      <w:proofErr w:type="spellStart"/>
      <w:r w:rsidRPr="00110DE8">
        <w:rPr>
          <w:rFonts w:cs="Arial"/>
          <w:i/>
          <w:lang w:val="fr-FR"/>
        </w:rPr>
        <w:t>rei</w:t>
      </w:r>
      <w:proofErr w:type="spellEnd"/>
      <w:r w:rsidRPr="00110DE8">
        <w:rPr>
          <w:rFonts w:cs="Arial"/>
          <w:i/>
          <w:lang w:val="fr-FR"/>
        </w:rPr>
        <w:t xml:space="preserve"> </w:t>
      </w:r>
      <w:proofErr w:type="spellStart"/>
      <w:r w:rsidRPr="00110DE8">
        <w:rPr>
          <w:rFonts w:cs="Arial"/>
          <w:i/>
          <w:lang w:val="fr-FR"/>
        </w:rPr>
        <w:t>sitae</w:t>
      </w:r>
      <w:proofErr w:type="spellEnd"/>
      <w:r w:rsidRPr="0015333F">
        <w:rPr>
          <w:rFonts w:cs="Arial"/>
          <w:lang w:val="fr-FR"/>
        </w:rPr>
        <w:t> (la loi applicable est celle où est localisée la chose). Cette règle devrait être applicable : si le bien est au Brésil, c’est le droit brésilien qui joue.</w:t>
      </w:r>
      <w:r w:rsidRPr="0015333F">
        <w:rPr>
          <w:rFonts w:cs="Arial"/>
          <w:lang w:val="fr-FR"/>
        </w:rPr>
        <w:tab/>
      </w:r>
      <w:r w:rsidRPr="0015333F">
        <w:rPr>
          <w:rFonts w:cs="Arial"/>
          <w:lang w:val="fr-FR"/>
        </w:rPr>
        <w:br/>
        <w:t>L’idée est donc de « transférer » un actif, situé en France, au Luxembourg. Pour cela le praticien transf</w:t>
      </w:r>
      <w:r w:rsidR="00B33FE1" w:rsidRPr="0015333F">
        <w:rPr>
          <w:rFonts w:cs="Arial"/>
          <w:lang w:val="fr-FR"/>
        </w:rPr>
        <w:t>ère</w:t>
      </w:r>
      <w:r w:rsidRPr="0015333F">
        <w:rPr>
          <w:rFonts w:cs="Arial"/>
          <w:lang w:val="fr-FR"/>
        </w:rPr>
        <w:t xml:space="preserve"> le débat de l’actif de base (un immeuble ou une société localisé</w:t>
      </w:r>
      <w:r w:rsidR="00B33FE1" w:rsidRPr="0015333F">
        <w:rPr>
          <w:rFonts w:cs="Arial"/>
          <w:lang w:val="fr-FR"/>
        </w:rPr>
        <w:t>e</w:t>
      </w:r>
      <w:r w:rsidRPr="0015333F">
        <w:rPr>
          <w:rFonts w:cs="Arial"/>
          <w:lang w:val="fr-FR"/>
        </w:rPr>
        <w:t xml:space="preserve"> en </w:t>
      </w:r>
      <w:r w:rsidR="00B33FE1" w:rsidRPr="0015333F">
        <w:rPr>
          <w:rFonts w:cs="Arial"/>
          <w:lang w:val="fr-FR"/>
        </w:rPr>
        <w:t>F</w:t>
      </w:r>
      <w:r w:rsidRPr="0015333F">
        <w:rPr>
          <w:rFonts w:cs="Arial"/>
          <w:lang w:val="fr-FR"/>
        </w:rPr>
        <w:t>rance) vers la holding qui le détient (société localisée au Luxembourg). Le débiteur considère que le débat  n’est pas sur l’immeuble qui reste localisé en France mais sur la société qui le possède qui, dans notre cas, est au Luxembourg. On peut s’interroger sur l’analyse que le juge français pourrait faire d’un tel montage. Dans l’affaire Carron 20 mars 1985</w:t>
      </w:r>
      <w:r w:rsidRPr="0015333F">
        <w:rPr>
          <w:rStyle w:val="Marquenotebasdepage"/>
          <w:rFonts w:cs="Arial"/>
          <w:lang w:val="fr-FR"/>
        </w:rPr>
        <w:footnoteReference w:id="20"/>
      </w:r>
      <w:r w:rsidRPr="0015333F">
        <w:rPr>
          <w:rFonts w:cs="Arial"/>
          <w:lang w:val="fr-FR"/>
        </w:rPr>
        <w:t>, un citoyen de droit américain ayant deux enfants l’un français et l’autre américain souhaitait « déshériter » ses enfants auprès d’une tierce personne. Une partie de sa fortune était investi</w:t>
      </w:r>
      <w:r w:rsidR="00B33FE1" w:rsidRPr="0015333F">
        <w:rPr>
          <w:rFonts w:cs="Arial"/>
          <w:lang w:val="fr-FR"/>
        </w:rPr>
        <w:t>e</w:t>
      </w:r>
      <w:r w:rsidRPr="0015333F">
        <w:rPr>
          <w:rFonts w:cs="Arial"/>
          <w:lang w:val="fr-FR"/>
        </w:rPr>
        <w:t xml:space="preserve"> dans une résidence située dans la marina des baies des anges sur la </w:t>
      </w:r>
      <w:r w:rsidR="00B33FE1" w:rsidRPr="0015333F">
        <w:rPr>
          <w:rFonts w:cs="Arial"/>
          <w:lang w:val="fr-FR"/>
        </w:rPr>
        <w:t>Côte d’A</w:t>
      </w:r>
      <w:r w:rsidRPr="0015333F">
        <w:rPr>
          <w:rFonts w:cs="Arial"/>
          <w:lang w:val="fr-FR"/>
        </w:rPr>
        <w:t>zur. Le droit français (celui de l’immeuble) ne l’autorisait pas à déshériter totalement ses enfants. Pour contourner les contraintes du droit français, le bien est transféré dans une société aux USA. La loi applicable en matière de transmission devrait être celle des actions (américaine) et non celle de l’immeuble (française). Le juge français avait considéré qu’il y avait fraude. En matière de Lux-co, le juge est pour l’instant plus modéré.</w:t>
      </w:r>
      <w:r w:rsidRPr="0015333F">
        <w:rPr>
          <w:rFonts w:cs="Arial"/>
          <w:lang w:val="fr-FR"/>
        </w:rPr>
        <w:tab/>
      </w:r>
      <w:r w:rsidRPr="0015333F">
        <w:rPr>
          <w:rFonts w:cs="Arial"/>
          <w:lang w:val="fr-FR"/>
        </w:rPr>
        <w:br/>
        <w:t xml:space="preserve">Dans la récente affaire </w:t>
      </w:r>
      <w:proofErr w:type="spellStart"/>
      <w:r w:rsidRPr="0015333F">
        <w:rPr>
          <w:rFonts w:cs="Arial"/>
          <w:lang w:val="fr-FR"/>
        </w:rPr>
        <w:t>Courtepaille</w:t>
      </w:r>
      <w:proofErr w:type="spellEnd"/>
      <w:r w:rsidRPr="0015333F">
        <w:rPr>
          <w:rStyle w:val="Marquenotebasdepage"/>
          <w:rFonts w:eastAsia="Times New Roman" w:cs="Arial"/>
          <w:lang w:val="fr-FR" w:eastAsia="fr-FR"/>
        </w:rPr>
        <w:footnoteReference w:id="21"/>
      </w:r>
      <w:r w:rsidRPr="0015333F">
        <w:rPr>
          <w:rFonts w:cs="Arial"/>
          <w:lang w:val="fr-FR"/>
        </w:rPr>
        <w:t xml:space="preserve">, les fonds d’investissement  Fondations Capital et CM-CIC Investissement avaient mis en place un LBO sur la société </w:t>
      </w:r>
      <w:proofErr w:type="spellStart"/>
      <w:r w:rsidRPr="0015333F">
        <w:rPr>
          <w:rFonts w:cs="Arial"/>
          <w:lang w:val="fr-FR"/>
        </w:rPr>
        <w:t>Courtepaille</w:t>
      </w:r>
      <w:proofErr w:type="spellEnd"/>
      <w:r w:rsidRPr="0015333F">
        <w:rPr>
          <w:rFonts w:cs="Arial"/>
          <w:lang w:val="fr-FR"/>
        </w:rPr>
        <w:t>. La société ICG avait financé l’opération via un prêt. Ce prêt incluait deux covenants (un ratio défini par la documentation de crédit précisant que la dette ne pouvait pas être plus de 7 fois supérieur au cash-flow généré). Le droit luxembourgeois permet de réaliser un nantissement pour violation d’un c</w:t>
      </w:r>
      <w:r w:rsidR="00110DE8">
        <w:rPr>
          <w:rFonts w:cs="Arial"/>
          <w:lang w:val="fr-FR"/>
        </w:rPr>
        <w:t>ovenant, pas le droit français.</w:t>
      </w:r>
      <w:r w:rsidRPr="0015333F">
        <w:rPr>
          <w:rFonts w:cs="Arial"/>
          <w:lang w:val="fr-FR"/>
        </w:rPr>
        <w:br/>
        <w:t xml:space="preserve">Le </w:t>
      </w:r>
      <w:r w:rsidR="00B33FE1" w:rsidRPr="0015333F">
        <w:rPr>
          <w:rFonts w:cs="Arial"/>
          <w:lang w:val="fr-FR"/>
        </w:rPr>
        <w:t>t</w:t>
      </w:r>
      <w:r w:rsidRPr="0015333F">
        <w:rPr>
          <w:rFonts w:cs="Arial"/>
          <w:lang w:val="fr-FR"/>
        </w:rPr>
        <w:t>ribunal de commerce de Paris a considéré que le bris du levier financier constituait un élément déclencheur autonome permettant de réaliser la sûreté. Cette analyse semble implicitement reconnaitre l’applicabilité de la loi luxembourgeoise dans le cadre de cette double Lux-</w:t>
      </w:r>
      <w:proofErr w:type="spellStart"/>
      <w:r w:rsidRPr="0015333F">
        <w:rPr>
          <w:rFonts w:cs="Arial"/>
          <w:lang w:val="fr-FR"/>
        </w:rPr>
        <w:t>co.</w:t>
      </w:r>
      <w:proofErr w:type="spellEnd"/>
      <w:r w:rsidRPr="0015333F">
        <w:rPr>
          <w:rFonts w:cs="Arial"/>
          <w:lang w:val="fr-FR"/>
        </w:rPr>
        <w:t xml:space="preserve"> </w:t>
      </w:r>
    </w:p>
    <w:p w14:paraId="2E6D3DF7" w14:textId="77777777" w:rsidR="008C6603" w:rsidRPr="0015333F" w:rsidRDefault="008C6603" w:rsidP="00B33FE1">
      <w:pPr>
        <w:pStyle w:val="Paragraphedeliste"/>
        <w:spacing w:after="160"/>
        <w:ind w:left="0"/>
        <w:contextualSpacing w:val="0"/>
        <w:rPr>
          <w:rFonts w:cs="Arial"/>
          <w:lang w:val="fr-FR"/>
        </w:rPr>
      </w:pPr>
      <w:r w:rsidRPr="0015333F">
        <w:rPr>
          <w:rFonts w:cs="Arial"/>
          <w:lang w:val="fr-FR"/>
        </w:rPr>
        <w:t>Ce succès du montage est-il un cas isolé ? Un second cas intéressant est celui de l’utilisation des limites fonctionnelles de la procédure collective dans le cadre de la subordination contractuelle.</w:t>
      </w:r>
    </w:p>
    <w:p w14:paraId="64DDE339" w14:textId="7DEEC970" w:rsidR="008C6603" w:rsidRPr="0015333F" w:rsidRDefault="008C6603" w:rsidP="00B33FE1">
      <w:pPr>
        <w:pStyle w:val="Titre2"/>
        <w:rPr>
          <w:lang w:val="fr-FR"/>
        </w:rPr>
      </w:pPr>
      <w:r w:rsidRPr="0015333F">
        <w:rPr>
          <w:lang w:val="fr-FR"/>
        </w:rPr>
        <w:t xml:space="preserve">Le  cas de la subordination contractuelle </w:t>
      </w:r>
    </w:p>
    <w:p w14:paraId="7D01C18E" w14:textId="40C24270" w:rsidR="008C6603" w:rsidRPr="0015333F" w:rsidRDefault="008C6603" w:rsidP="00B33FE1">
      <w:pPr>
        <w:rPr>
          <w:rFonts w:cs="Arial"/>
          <w:lang w:val="fr-FR"/>
        </w:rPr>
      </w:pPr>
      <w:r w:rsidRPr="0015333F">
        <w:rPr>
          <w:rFonts w:cs="Arial"/>
          <w:lang w:val="fr-FR"/>
        </w:rPr>
        <w:t>L’objectif du montage est de définir l’ordre de paiement des créanciers</w:t>
      </w:r>
      <w:r w:rsidR="00362A3C">
        <w:rPr>
          <w:rStyle w:val="Marquenotebasdepage"/>
          <w:rFonts w:cs="Arial"/>
          <w:lang w:val="fr-FR"/>
        </w:rPr>
        <w:footnoteReference w:id="22"/>
      </w:r>
      <w:r w:rsidRPr="005E6614">
        <w:rPr>
          <w:rFonts w:cs="Arial"/>
          <w:lang w:val="fr-FR"/>
        </w:rPr>
        <w:t>.</w:t>
      </w:r>
      <w:r w:rsidRPr="0015333F">
        <w:rPr>
          <w:rFonts w:cs="Arial"/>
          <w:b/>
          <w:lang w:val="fr-FR"/>
        </w:rPr>
        <w:t xml:space="preserve"> </w:t>
      </w:r>
      <w:r w:rsidRPr="0015333F">
        <w:rPr>
          <w:rFonts w:cs="Arial"/>
          <w:lang w:val="fr-FR"/>
        </w:rPr>
        <w:t>L’ordre des r</w:t>
      </w:r>
      <w:r w:rsidR="00B33FE1" w:rsidRPr="0015333F">
        <w:rPr>
          <w:rFonts w:cs="Arial"/>
          <w:lang w:val="fr-FR"/>
        </w:rPr>
        <w:t>épara</w:t>
      </w:r>
      <w:r w:rsidRPr="0015333F">
        <w:rPr>
          <w:rFonts w:cs="Arial"/>
          <w:lang w:val="fr-FR"/>
        </w:rPr>
        <w:t xml:space="preserve">tions est théoriquement défini par </w:t>
      </w:r>
      <w:r w:rsidR="00362A3C">
        <w:rPr>
          <w:rFonts w:cs="Arial"/>
          <w:lang w:val="fr-FR"/>
        </w:rPr>
        <w:t>les règles de la procédure collective</w:t>
      </w:r>
      <w:r w:rsidRPr="0015333F">
        <w:rPr>
          <w:rFonts w:cs="Arial"/>
          <w:lang w:val="fr-FR"/>
        </w:rPr>
        <w:t xml:space="preserve">. L’objectif est qu’un créancier </w:t>
      </w:r>
      <w:r w:rsidRPr="0015333F">
        <w:rPr>
          <w:rFonts w:cs="Arial"/>
          <w:lang w:val="fr-FR"/>
        </w:rPr>
        <w:lastRenderedPageBreak/>
        <w:t>A, inférieur en rang selon la procédure collective, capte les sommes dues à un créancier B, supérieur en rang.</w:t>
      </w:r>
      <w:r w:rsidRPr="0015333F">
        <w:rPr>
          <w:rFonts w:cs="Arial"/>
          <w:b/>
          <w:lang w:val="fr-FR"/>
        </w:rPr>
        <w:t xml:space="preserve"> </w:t>
      </w:r>
      <w:r w:rsidRPr="0015333F">
        <w:rPr>
          <w:rFonts w:cs="Arial"/>
          <w:lang w:val="fr-FR"/>
        </w:rPr>
        <w:t xml:space="preserve">Pour cela le montage s’appuie sur une clause de </w:t>
      </w:r>
      <w:r w:rsidRPr="0015333F">
        <w:rPr>
          <w:rFonts w:cs="Arial"/>
          <w:bCs/>
          <w:lang w:val="fr-FR"/>
        </w:rPr>
        <w:t>«</w:t>
      </w:r>
      <w:r w:rsidR="00B33FE1" w:rsidRPr="00E053DE">
        <w:rPr>
          <w:rFonts w:cs="Arial"/>
          <w:bCs/>
          <w:i/>
          <w:lang w:val="fr-FR"/>
        </w:rPr>
        <w:t> </w:t>
      </w:r>
      <w:r w:rsidRPr="00E053DE">
        <w:rPr>
          <w:rFonts w:cs="Arial"/>
          <w:i/>
          <w:lang w:val="fr-FR"/>
        </w:rPr>
        <w:t>Claw back</w:t>
      </w:r>
      <w:r w:rsidR="00B33FE1" w:rsidRPr="0015333F">
        <w:rPr>
          <w:rFonts w:cs="Arial"/>
          <w:lang w:val="fr-FR"/>
        </w:rPr>
        <w:t> </w:t>
      </w:r>
      <w:r w:rsidRPr="0015333F">
        <w:rPr>
          <w:rFonts w:cs="Arial"/>
          <w:bCs/>
          <w:lang w:val="fr-FR"/>
        </w:rPr>
        <w:t>» ou de « turnover » subordination.</w:t>
      </w:r>
      <w:r w:rsidRPr="0015333F">
        <w:rPr>
          <w:rFonts w:cs="Arial"/>
          <w:b/>
          <w:lang w:val="fr-FR"/>
        </w:rPr>
        <w:t xml:space="preserve"> </w:t>
      </w:r>
      <w:r w:rsidRPr="0015333F">
        <w:rPr>
          <w:rFonts w:eastAsia="Times New Roman" w:cs="Arial"/>
          <w:lang w:val="fr-FR" w:eastAsia="fr-FR"/>
        </w:rPr>
        <w:t>Cette clause crée une obligation pour le créancier junior de rétrocéder à chaque fois que ce paiement interviendra dans une situation de concours avec les créanciers seniors</w:t>
      </w:r>
      <w:r w:rsidR="00362A3C">
        <w:rPr>
          <w:rStyle w:val="Marquenotebasdepage"/>
          <w:rFonts w:eastAsia="Times New Roman" w:cs="Arial"/>
          <w:lang w:val="fr-FR" w:eastAsia="fr-FR"/>
        </w:rPr>
        <w:footnoteReference w:id="23"/>
      </w:r>
      <w:r w:rsidRPr="0015333F">
        <w:rPr>
          <w:rFonts w:eastAsia="Times New Roman" w:cs="Arial"/>
          <w:lang w:val="fr-FR" w:eastAsia="fr-FR"/>
        </w:rPr>
        <w:t>.</w:t>
      </w:r>
    </w:p>
    <w:p w14:paraId="476B6F47" w14:textId="77777777" w:rsidR="008C6603" w:rsidRPr="0015333F" w:rsidRDefault="008C6603" w:rsidP="00B33FE1">
      <w:pPr>
        <w:rPr>
          <w:rFonts w:cs="Arial"/>
          <w:lang w:val="fr-FR"/>
        </w:rPr>
      </w:pPr>
      <w:r w:rsidRPr="0015333F">
        <w:rPr>
          <w:rFonts w:cs="Arial"/>
          <w:lang w:val="fr-FR"/>
        </w:rPr>
        <w:t>Ce mécanisme se décompose à nouveau en deux étapes successives.</w:t>
      </w:r>
    </w:p>
    <w:p w14:paraId="251A9618" w14:textId="77777777" w:rsidR="00ED5AAA" w:rsidRDefault="008C6603" w:rsidP="002B647C">
      <w:pPr>
        <w:pStyle w:val="Paragraphedeliste"/>
        <w:ind w:left="0"/>
        <w:contextualSpacing w:val="0"/>
        <w:rPr>
          <w:rFonts w:cs="Arial"/>
          <w:lang w:val="fr-FR"/>
        </w:rPr>
      </w:pPr>
      <w:r w:rsidRPr="0015333F">
        <w:rPr>
          <w:rFonts w:cs="Arial"/>
          <w:bCs/>
          <w:lang w:val="fr-FR"/>
        </w:rPr>
        <w:t>La première phase respectueuse du droit des procédures collectives puisque</w:t>
      </w:r>
      <w:r w:rsidRPr="0015333F">
        <w:rPr>
          <w:rFonts w:cs="Arial"/>
          <w:lang w:val="fr-FR"/>
        </w:rPr>
        <w:t xml:space="preserve"> la répartition se déroule comme prévu par le livre</w:t>
      </w:r>
      <w:r w:rsidR="00B33FE1" w:rsidRPr="0015333F">
        <w:rPr>
          <w:rFonts w:cs="Arial"/>
          <w:lang w:val="fr-FR"/>
        </w:rPr>
        <w:t> </w:t>
      </w:r>
      <w:r w:rsidRPr="0015333F">
        <w:rPr>
          <w:rFonts w:cs="Arial"/>
          <w:lang w:val="fr-FR"/>
        </w:rPr>
        <w:t xml:space="preserve">VI du Code commerce. Les créanciers seniors comme juniors sont réglés conformément à l’ordre des répartitions fixées par le droit des procédures collectives. Pour les créanciers qui ne sont pas parties à l’accord, ce dernier n’aura aucune influence directe, il ne générera pour la procédure aucune charge supplémentaire En effet les sommes versées aux juniors, correspondent à celles qui lui sont dues. </w:t>
      </w:r>
      <w:r w:rsidR="00110DE8">
        <w:rPr>
          <w:rFonts w:cs="Arial"/>
          <w:lang w:val="fr-FR"/>
        </w:rPr>
        <w:tab/>
      </w:r>
      <w:r w:rsidRPr="0015333F">
        <w:rPr>
          <w:rFonts w:cs="Arial"/>
          <w:lang w:val="fr-FR"/>
        </w:rPr>
        <w:br/>
        <w:t>Dans un second temps, un versement intervient entre le créancier junior et senior. Ces deux créanciers sont en principe « in bonis », l’attraction de la procédure collective de leurs débiteurs communs envers un rapport entre deux parties dont aucune n’est débit</w:t>
      </w:r>
      <w:r w:rsidR="00B33FE1" w:rsidRPr="0015333F">
        <w:rPr>
          <w:rFonts w:cs="Arial"/>
          <w:lang w:val="fr-FR"/>
        </w:rPr>
        <w:t>rice</w:t>
      </w:r>
      <w:r w:rsidRPr="0015333F">
        <w:rPr>
          <w:rFonts w:cs="Arial"/>
          <w:lang w:val="fr-FR"/>
        </w:rPr>
        <w:t xml:space="preserve"> de la procédure semble extrêmement discutable. Car, comme le souligne un auteur « la nature du droit des procédures collectives (…) vise essentiellement à encadrer les relations entre un débiteur failli et ses créanciers et non pas celles susceptibles d’intervenir entre créanciers</w:t>
      </w:r>
      <w:r w:rsidR="00B33FE1" w:rsidRPr="0015333F">
        <w:rPr>
          <w:rFonts w:cs="Arial"/>
          <w:lang w:val="fr-FR"/>
        </w:rPr>
        <w:t> </w:t>
      </w:r>
      <w:r w:rsidRPr="0015333F">
        <w:rPr>
          <w:rFonts w:cs="Arial"/>
          <w:lang w:val="fr-FR"/>
        </w:rPr>
        <w:t>»</w:t>
      </w:r>
      <w:r w:rsidRPr="0015333F">
        <w:rPr>
          <w:rFonts w:cs="Arial"/>
          <w:snapToGrid w:val="0"/>
          <w:vertAlign w:val="superscript"/>
          <w:lang w:val="fr-FR"/>
        </w:rPr>
        <w:footnoteReference w:id="24"/>
      </w:r>
      <w:r w:rsidRPr="0015333F">
        <w:rPr>
          <w:rFonts w:cs="Arial"/>
          <w:lang w:val="fr-FR"/>
        </w:rPr>
        <w:t>. Certains praticiens s’appuient notamment sur ce raisonnement pour affirmer la neutralité des clauses « </w:t>
      </w:r>
      <w:r w:rsidRPr="00110DE8">
        <w:rPr>
          <w:rFonts w:cs="Arial"/>
          <w:i/>
          <w:lang w:val="fr-FR"/>
        </w:rPr>
        <w:t>d’intercreditor agreement</w:t>
      </w:r>
      <w:r w:rsidRPr="0015333F">
        <w:rPr>
          <w:rFonts w:cs="Arial"/>
          <w:lang w:val="fr-FR"/>
        </w:rPr>
        <w:t> » envers la procédure collective. Tout est dans l</w:t>
      </w:r>
      <w:r w:rsidR="00ED5AAA">
        <w:rPr>
          <w:rFonts w:cs="Arial"/>
          <w:lang w:val="fr-FR"/>
        </w:rPr>
        <w:t xml:space="preserve">a terminologie retenue : </w:t>
      </w:r>
      <w:r w:rsidR="00ED5AAA" w:rsidRPr="00110DE8">
        <w:rPr>
          <w:rFonts w:cs="Arial"/>
          <w:i/>
          <w:lang w:val="fr-FR"/>
        </w:rPr>
        <w:t>intercreditor</w:t>
      </w:r>
      <w:r w:rsidR="00ED5AAA">
        <w:rPr>
          <w:rFonts w:cs="Arial"/>
          <w:lang w:val="fr-FR"/>
        </w:rPr>
        <w:t xml:space="preserve"> (entre</w:t>
      </w:r>
      <w:r w:rsidRPr="0015333F">
        <w:rPr>
          <w:rFonts w:cs="Arial"/>
          <w:lang w:val="fr-FR"/>
        </w:rPr>
        <w:t xml:space="preserve"> créanciers</w:t>
      </w:r>
      <w:r w:rsidR="00ED5AAA">
        <w:rPr>
          <w:rFonts w:cs="Arial"/>
          <w:lang w:val="fr-FR"/>
        </w:rPr>
        <w:t xml:space="preserve"> et non entre</w:t>
      </w:r>
      <w:r w:rsidRPr="0015333F">
        <w:rPr>
          <w:rFonts w:cs="Arial"/>
          <w:lang w:val="fr-FR"/>
        </w:rPr>
        <w:t xml:space="preserve"> </w:t>
      </w:r>
      <w:r w:rsidR="00ED5AAA">
        <w:rPr>
          <w:rFonts w:cs="Arial"/>
          <w:lang w:val="fr-FR"/>
        </w:rPr>
        <w:t>le</w:t>
      </w:r>
      <w:r w:rsidRPr="0015333F">
        <w:rPr>
          <w:rFonts w:cs="Arial"/>
          <w:lang w:val="fr-FR"/>
        </w:rPr>
        <w:t xml:space="preserve"> débiteur</w:t>
      </w:r>
      <w:r w:rsidR="00ED5AAA">
        <w:rPr>
          <w:rFonts w:cs="Arial"/>
          <w:lang w:val="fr-FR"/>
        </w:rPr>
        <w:t xml:space="preserve"> et ses</w:t>
      </w:r>
      <w:r w:rsidRPr="0015333F">
        <w:rPr>
          <w:rFonts w:cs="Arial"/>
          <w:lang w:val="fr-FR"/>
        </w:rPr>
        <w:t xml:space="preserve"> créanciers</w:t>
      </w:r>
      <w:r w:rsidR="00ED5AAA">
        <w:rPr>
          <w:rFonts w:cs="Arial"/>
          <w:lang w:val="fr-FR"/>
        </w:rPr>
        <w:t>)</w:t>
      </w:r>
      <w:r w:rsidRPr="0015333F">
        <w:rPr>
          <w:rFonts w:cs="Arial"/>
          <w:lang w:val="fr-FR"/>
        </w:rPr>
        <w:t xml:space="preserve">. Un auteur </w:t>
      </w:r>
      <w:r w:rsidR="00ED5AAA">
        <w:rPr>
          <w:rFonts w:cs="Arial"/>
          <w:lang w:val="fr-FR"/>
        </w:rPr>
        <w:t>souligne</w:t>
      </w:r>
      <w:r w:rsidRPr="0015333F">
        <w:rPr>
          <w:rFonts w:cs="Arial"/>
          <w:lang w:val="fr-FR"/>
        </w:rPr>
        <w:t xml:space="preserve"> que « cette convention de subordination semble a priori neutre pour la procédure collective puisqu’il s’agit seulement, entre les prêteurs d’organiser leurs relations dans le cadre </w:t>
      </w:r>
      <w:r w:rsidR="00110DE8">
        <w:rPr>
          <w:rFonts w:cs="Arial"/>
          <w:i/>
          <w:lang w:val="fr-FR"/>
        </w:rPr>
        <w:t>d’</w:t>
      </w:r>
      <w:proofErr w:type="spellStart"/>
      <w:r w:rsidR="00110DE8">
        <w:rPr>
          <w:rFonts w:cs="Arial"/>
          <w:i/>
          <w:lang w:val="fr-FR"/>
        </w:rPr>
        <w:t>intercre</w:t>
      </w:r>
      <w:r w:rsidRPr="00110DE8">
        <w:rPr>
          <w:rFonts w:cs="Arial"/>
          <w:i/>
          <w:lang w:val="fr-FR"/>
        </w:rPr>
        <w:t>ditors</w:t>
      </w:r>
      <w:proofErr w:type="spellEnd"/>
      <w:r w:rsidRPr="00110DE8">
        <w:rPr>
          <w:rFonts w:cs="Arial"/>
          <w:i/>
          <w:lang w:val="fr-FR"/>
        </w:rPr>
        <w:t xml:space="preserve"> </w:t>
      </w:r>
      <w:proofErr w:type="spellStart"/>
      <w:r w:rsidRPr="00110DE8">
        <w:rPr>
          <w:rFonts w:cs="Arial"/>
          <w:i/>
          <w:lang w:val="fr-FR"/>
        </w:rPr>
        <w:t>a</w:t>
      </w:r>
      <w:r w:rsidR="00B33FE1" w:rsidRPr="00110DE8">
        <w:rPr>
          <w:rFonts w:cs="Arial"/>
          <w:i/>
          <w:lang w:val="fr-FR"/>
        </w:rPr>
        <w:t>greements</w:t>
      </w:r>
      <w:proofErr w:type="spellEnd"/>
      <w:r w:rsidRPr="0015333F">
        <w:rPr>
          <w:rFonts w:cs="Arial"/>
          <w:lang w:val="fr-FR"/>
        </w:rPr>
        <w:t> »</w:t>
      </w:r>
      <w:r w:rsidRPr="0015333F">
        <w:rPr>
          <w:rFonts w:cs="Arial"/>
          <w:snapToGrid w:val="0"/>
          <w:vertAlign w:val="superscript"/>
          <w:lang w:val="fr-FR"/>
        </w:rPr>
        <w:footnoteReference w:id="25"/>
      </w:r>
      <w:r w:rsidRPr="0015333F">
        <w:rPr>
          <w:rFonts w:cs="Arial"/>
          <w:lang w:val="fr-FR"/>
        </w:rPr>
        <w:t>.</w:t>
      </w:r>
      <w:r w:rsidR="00B33FE1" w:rsidRPr="0015333F">
        <w:rPr>
          <w:rFonts w:cs="Arial"/>
          <w:lang w:val="fr-FR"/>
        </w:rPr>
        <w:t xml:space="preserve"> </w:t>
      </w:r>
      <w:r w:rsidRPr="0015333F">
        <w:rPr>
          <w:rFonts w:cs="Arial"/>
          <w:lang w:val="fr-FR"/>
        </w:rPr>
        <w:t>Cette idée est reprise par un praticien qui affirme que «</w:t>
      </w:r>
      <w:r w:rsidR="000C4857">
        <w:rPr>
          <w:rFonts w:cs="Arial"/>
          <w:lang w:val="fr-FR"/>
        </w:rPr>
        <w:t> </w:t>
      </w:r>
      <w:r w:rsidRPr="0015333F">
        <w:rPr>
          <w:rFonts w:cs="Arial"/>
          <w:lang w:val="fr-FR"/>
        </w:rPr>
        <w:t>(la subordination particulière) qui opère entre deux créanciers ou groupes de créanciers est neutre pour les autres créanciers »</w:t>
      </w:r>
      <w:r w:rsidRPr="0015333F">
        <w:rPr>
          <w:rFonts w:cs="Arial"/>
          <w:snapToGrid w:val="0"/>
          <w:vertAlign w:val="superscript"/>
          <w:lang w:val="fr-FR"/>
        </w:rPr>
        <w:footnoteReference w:id="26"/>
      </w:r>
      <w:r w:rsidRPr="0015333F">
        <w:rPr>
          <w:rFonts w:cs="Arial"/>
          <w:lang w:val="fr-FR"/>
        </w:rPr>
        <w:t xml:space="preserve">. Dans cette configuration, l’efficacité de la clause de </w:t>
      </w:r>
      <w:r w:rsidRPr="0015333F">
        <w:rPr>
          <w:rFonts w:cs="Arial"/>
          <w:i/>
          <w:lang w:val="fr-FR"/>
        </w:rPr>
        <w:t>claw back</w:t>
      </w:r>
      <w:r w:rsidRPr="0015333F">
        <w:rPr>
          <w:rFonts w:cs="Arial"/>
          <w:lang w:val="fr-FR"/>
        </w:rPr>
        <w:t xml:space="preserve"> semble difficilement discutable.</w:t>
      </w:r>
    </w:p>
    <w:p w14:paraId="7DF08BF7" w14:textId="012CAD09" w:rsidR="008C6603" w:rsidRDefault="008C6603" w:rsidP="002B647C">
      <w:pPr>
        <w:pStyle w:val="Paragraphedeliste"/>
        <w:ind w:left="0"/>
        <w:contextualSpacing w:val="0"/>
        <w:rPr>
          <w:rFonts w:cs="Arial"/>
          <w:lang w:val="fr-FR"/>
        </w:rPr>
      </w:pPr>
      <w:r w:rsidRPr="0015333F">
        <w:rPr>
          <w:rFonts w:cs="Arial"/>
          <w:lang w:val="fr-FR"/>
        </w:rPr>
        <w:t>Un arrêt de la Cour d’appel de Paris du 12 février 1985</w:t>
      </w:r>
      <w:r w:rsidRPr="0015333F">
        <w:rPr>
          <w:rFonts w:cs="Arial"/>
          <w:snapToGrid w:val="0"/>
          <w:vertAlign w:val="superscript"/>
          <w:lang w:val="fr-FR"/>
        </w:rPr>
        <w:footnoteReference w:id="27"/>
      </w:r>
      <w:r w:rsidRPr="0015333F">
        <w:rPr>
          <w:rFonts w:cs="Arial"/>
          <w:lang w:val="fr-FR"/>
        </w:rPr>
        <w:t xml:space="preserve"> affirme d’ailleurs que «</w:t>
      </w:r>
      <w:r w:rsidR="00B33FE1" w:rsidRPr="0015333F">
        <w:rPr>
          <w:rFonts w:cs="Arial"/>
          <w:lang w:val="fr-FR"/>
        </w:rPr>
        <w:t> </w:t>
      </w:r>
      <w:r w:rsidRPr="0015333F">
        <w:rPr>
          <w:rFonts w:cs="Arial"/>
          <w:lang w:val="fr-FR"/>
        </w:rPr>
        <w:t xml:space="preserve">le syndic a pour fonction de répartir les sommes provenant de l’actif du débiteur </w:t>
      </w:r>
      <w:r w:rsidR="00D6088E">
        <w:rPr>
          <w:rFonts w:cs="Arial"/>
          <w:lang w:val="fr-FR"/>
        </w:rPr>
        <w:t>[</w:t>
      </w:r>
      <w:r w:rsidR="00D6088E" w:rsidRPr="0015333F">
        <w:rPr>
          <w:rFonts w:cs="Arial"/>
          <w:lang w:val="fr-FR"/>
        </w:rPr>
        <w:t>…</w:t>
      </w:r>
      <w:r w:rsidR="00D6088E">
        <w:rPr>
          <w:rFonts w:cs="Arial"/>
          <w:lang w:val="fr-FR"/>
        </w:rPr>
        <w:t>]</w:t>
      </w:r>
      <w:r w:rsidRPr="0015333F">
        <w:rPr>
          <w:rFonts w:cs="Arial"/>
          <w:lang w:val="fr-FR"/>
        </w:rPr>
        <w:t xml:space="preserve"> après avoir établi sous sa responsabilité l’ordre des créances en tenant compte des documents remis par les créanciers </w:t>
      </w:r>
      <w:r w:rsidR="000A1956">
        <w:rPr>
          <w:rFonts w:cs="Arial"/>
          <w:lang w:val="fr-FR"/>
        </w:rPr>
        <w:t>[</w:t>
      </w:r>
      <w:r w:rsidR="000A1956" w:rsidRPr="0015333F">
        <w:rPr>
          <w:rFonts w:cs="Arial"/>
          <w:lang w:val="fr-FR"/>
        </w:rPr>
        <w:t>…</w:t>
      </w:r>
      <w:r w:rsidR="000A1956">
        <w:rPr>
          <w:rFonts w:cs="Arial"/>
          <w:lang w:val="fr-FR"/>
        </w:rPr>
        <w:t>]</w:t>
      </w:r>
      <w:r w:rsidRPr="0015333F">
        <w:rPr>
          <w:rFonts w:cs="Arial"/>
          <w:lang w:val="fr-FR"/>
        </w:rPr>
        <w:t xml:space="preserve"> en s’abstenant de tenir </w:t>
      </w:r>
      <w:r w:rsidRPr="0015333F">
        <w:rPr>
          <w:rFonts w:cs="Arial"/>
          <w:lang w:val="fr-FR"/>
        </w:rPr>
        <w:lastRenderedPageBreak/>
        <w:t xml:space="preserve">compte de ces documents, clairs et précis, dont la lecture devait lui permettre de déterminer l’ordre réel des privilèges </w:t>
      </w:r>
      <w:r w:rsidR="000A1956">
        <w:rPr>
          <w:rFonts w:cs="Arial"/>
          <w:lang w:val="fr-FR"/>
        </w:rPr>
        <w:t>[</w:t>
      </w:r>
      <w:r w:rsidR="000A1956" w:rsidRPr="0015333F">
        <w:rPr>
          <w:rFonts w:cs="Arial"/>
          <w:lang w:val="fr-FR"/>
        </w:rPr>
        <w:t>…</w:t>
      </w:r>
      <w:r w:rsidR="000A1956">
        <w:rPr>
          <w:rFonts w:cs="Arial"/>
          <w:lang w:val="fr-FR"/>
        </w:rPr>
        <w:t>]</w:t>
      </w:r>
      <w:r w:rsidRPr="0015333F">
        <w:rPr>
          <w:rFonts w:cs="Arial"/>
          <w:lang w:val="fr-FR"/>
        </w:rPr>
        <w:t xml:space="preserve"> le syndic a commis une négligence</w:t>
      </w:r>
      <w:r w:rsidR="00B33FE1" w:rsidRPr="0015333F">
        <w:rPr>
          <w:rFonts w:cs="Arial"/>
          <w:lang w:val="fr-FR"/>
        </w:rPr>
        <w:t> </w:t>
      </w:r>
      <w:r w:rsidRPr="0015333F">
        <w:rPr>
          <w:rFonts w:cs="Arial"/>
          <w:lang w:val="fr-FR"/>
        </w:rPr>
        <w:t>». Dans cet arrêt, la Cour d’appel a considéré que la responsabilité personnelle du liquidateur pouvait être retenue lorsque ce dernier omet de faire état d’une convention de rang passée entre deux créanciers privilégiés et de tenir compte de cette cession d’antériorité dans ses répartitions.</w:t>
      </w:r>
      <w:r w:rsidRPr="0015333F">
        <w:rPr>
          <w:rFonts w:cs="Arial"/>
          <w:lang w:val="fr-FR"/>
        </w:rPr>
        <w:br/>
      </w:r>
      <w:r w:rsidRPr="00110DE8">
        <w:rPr>
          <w:rFonts w:cs="Arial"/>
          <w:spacing w:val="-6"/>
          <w:lang w:val="fr-FR"/>
        </w:rPr>
        <w:t xml:space="preserve">En Droit français, le créancier habile parvient souvent à ses fins même en cas de procédure collective. De ce constat jusqu’à la conclusion que le Droit français serait favorable au créancier, il n’y a qu’un pas. Mais je ne franchirais pas le Rubicon, puisqu’il est à présent temps pour moi de laisser la parole sur la difficile question de savoir si « Le droit français est ou non </w:t>
      </w:r>
      <w:proofErr w:type="spellStart"/>
      <w:r w:rsidRPr="00110DE8">
        <w:rPr>
          <w:rFonts w:cs="Arial"/>
          <w:i/>
          <w:spacing w:val="-6"/>
          <w:lang w:val="fr-FR"/>
        </w:rPr>
        <w:t>creditor</w:t>
      </w:r>
      <w:proofErr w:type="spellEnd"/>
      <w:r w:rsidRPr="00110DE8">
        <w:rPr>
          <w:rFonts w:cs="Arial"/>
          <w:i/>
          <w:spacing w:val="-6"/>
          <w:lang w:val="fr-FR"/>
        </w:rPr>
        <w:t xml:space="preserve"> </w:t>
      </w:r>
      <w:proofErr w:type="spellStart"/>
      <w:r w:rsidRPr="00110DE8">
        <w:rPr>
          <w:rFonts w:cs="Arial"/>
          <w:i/>
          <w:spacing w:val="-6"/>
          <w:lang w:val="fr-FR"/>
        </w:rPr>
        <w:t>friendly</w:t>
      </w:r>
      <w:proofErr w:type="spellEnd"/>
      <w:r w:rsidRPr="00110DE8">
        <w:rPr>
          <w:rFonts w:cs="Arial"/>
          <w:i/>
          <w:spacing w:val="-6"/>
          <w:lang w:val="fr-FR"/>
        </w:rPr>
        <w:t xml:space="preserve"> ? ».</w:t>
      </w:r>
    </w:p>
    <w:p w14:paraId="1FF400EB" w14:textId="77777777" w:rsidR="000C4857" w:rsidRPr="002B647C" w:rsidRDefault="000C4857" w:rsidP="002B647C">
      <w:pPr>
        <w:pStyle w:val="Paragraphedeliste"/>
        <w:ind w:left="0"/>
        <w:contextualSpacing w:val="0"/>
        <w:rPr>
          <w:rFonts w:cs="Arial"/>
          <w:lang w:val="fr-FR"/>
        </w:rPr>
      </w:pPr>
    </w:p>
    <w:sectPr w:rsidR="000C4857" w:rsidRPr="002B647C" w:rsidSect="00833296">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21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16A92" w14:textId="77777777" w:rsidR="007B7F2D" w:rsidRDefault="007B7F2D" w:rsidP="008508B6">
      <w:r>
        <w:separator/>
      </w:r>
    </w:p>
  </w:endnote>
  <w:endnote w:type="continuationSeparator" w:id="0">
    <w:p w14:paraId="56FC2A08" w14:textId="77777777" w:rsidR="007B7F2D" w:rsidRDefault="007B7F2D"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pple Garamon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7515" w14:textId="26D9203B"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7749BE">
      <w:rPr>
        <w:rStyle w:val="Numrodepage"/>
        <w:noProof/>
      </w:rPr>
      <w:t>220</w:t>
    </w:r>
    <w:r w:rsidRPr="00687E5A">
      <w:rPr>
        <w:rStyle w:val="Numrodepage"/>
      </w:rPr>
      <w:fldChar w:fldCharType="end"/>
    </w:r>
    <w:r>
      <w:rPr>
        <w:rStyle w:val="Numrodepage"/>
      </w:rPr>
      <w:t xml:space="preserve"> –</w:t>
    </w:r>
  </w:p>
  <w:p w14:paraId="365A8967" w14:textId="76D2E5AE" w:rsidR="009A493D" w:rsidRPr="008C718B" w:rsidRDefault="00614422" w:rsidP="00614422">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on Insolvency Law [2017 – Vol 1]</w:t>
    </w:r>
  </w:p>
  <w:p w14:paraId="407918D7" w14:textId="267397C9" w:rsidR="00DA11F7" w:rsidRPr="00097788" w:rsidRDefault="007749BE" w:rsidP="00614422">
    <w:pPr>
      <w:pStyle w:val="Pieddepage"/>
      <w:jc w:val="center"/>
      <w:rPr>
        <w:i/>
        <w:color w:val="0070C0"/>
        <w:sz w:val="16"/>
        <w:szCs w:val="16"/>
      </w:rPr>
    </w:pPr>
    <w:hyperlink r:id="rId1" w:history="1">
      <w:r w:rsidR="008C6603" w:rsidRPr="00B37D89">
        <w:rPr>
          <w:rStyle w:val="Lienhypertexte"/>
          <w:i/>
          <w:sz w:val="16"/>
          <w:szCs w:val="16"/>
        </w:rPr>
        <w:t>http://ojs.imodev.org/index.php/IJIL</w:t>
      </w:r>
    </w:hyperlink>
    <w:r w:rsidR="008C6603">
      <w:rPr>
        <w:i/>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2487" w14:textId="06481C89"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7749BE">
      <w:rPr>
        <w:rStyle w:val="Numrodepage"/>
        <w:noProof/>
      </w:rPr>
      <w:t>211</w:t>
    </w:r>
    <w:r w:rsidRPr="00687E5A">
      <w:rPr>
        <w:rStyle w:val="Numrodepage"/>
      </w:rPr>
      <w:fldChar w:fldCharType="end"/>
    </w:r>
    <w:r>
      <w:rPr>
        <w:rStyle w:val="Numrodepage"/>
      </w:rPr>
      <w:t xml:space="preserve"> –</w:t>
    </w:r>
  </w:p>
  <w:p w14:paraId="59060A3C" w14:textId="1A4CFA5D" w:rsidR="00097788" w:rsidRPr="008C718B" w:rsidRDefault="00097788" w:rsidP="00097788">
    <w:pPr>
      <w:pStyle w:val="Pieddepage"/>
      <w:jc w:val="center"/>
      <w:rPr>
        <w:b/>
        <w:color w:val="0070C0"/>
        <w:sz w:val="16"/>
        <w:szCs w:val="16"/>
      </w:rPr>
    </w:pPr>
    <w:r w:rsidRPr="008C718B">
      <w:rPr>
        <w:b/>
        <w:color w:val="0070C0"/>
        <w:sz w:val="16"/>
        <w:szCs w:val="16"/>
      </w:rPr>
      <w:t xml:space="preserve">International Journal </w:t>
    </w:r>
    <w:r w:rsidR="004267B3">
      <w:rPr>
        <w:b/>
        <w:color w:val="0070C0"/>
        <w:sz w:val="16"/>
        <w:szCs w:val="16"/>
      </w:rPr>
      <w:t>of</w:t>
    </w:r>
    <w:r w:rsidR="00614422">
      <w:rPr>
        <w:b/>
        <w:color w:val="0070C0"/>
        <w:sz w:val="16"/>
        <w:szCs w:val="16"/>
      </w:rPr>
      <w:t xml:space="preserve"> Insolvency Law [2017</w:t>
    </w:r>
    <w:r w:rsidR="003F146F">
      <w:rPr>
        <w:b/>
        <w:color w:val="0070C0"/>
        <w:sz w:val="16"/>
        <w:szCs w:val="16"/>
      </w:rPr>
      <w:t xml:space="preserve"> – Vol 1]</w:t>
    </w:r>
  </w:p>
  <w:p w14:paraId="69EF0AD9" w14:textId="2BE24595" w:rsidR="00097788" w:rsidRPr="00097788" w:rsidRDefault="00614422" w:rsidP="00097788">
    <w:pPr>
      <w:pStyle w:val="Pieddepage"/>
      <w:jc w:val="center"/>
      <w:rPr>
        <w:i/>
        <w:color w:val="0070C0"/>
        <w:sz w:val="16"/>
        <w:szCs w:val="16"/>
      </w:rPr>
    </w:pPr>
    <w:r w:rsidRPr="008C6603">
      <w:rPr>
        <w:i/>
        <w:sz w:val="16"/>
        <w:szCs w:val="16"/>
      </w:rPr>
      <w:t>http:</w:t>
    </w:r>
    <w:r w:rsidR="008C6603">
      <w:rPr>
        <w:i/>
        <w:sz w:val="16"/>
        <w:szCs w:val="16"/>
      </w:rPr>
      <w:t>//ojs.imodev.org/index.php/IJIL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0A690" w14:textId="77777777" w:rsidR="007B7F2D" w:rsidRDefault="007B7F2D" w:rsidP="008508B6">
      <w:r>
        <w:separator/>
      </w:r>
    </w:p>
  </w:footnote>
  <w:footnote w:type="continuationSeparator" w:id="0">
    <w:p w14:paraId="3B4217FC" w14:textId="77777777" w:rsidR="007B7F2D" w:rsidRDefault="007B7F2D" w:rsidP="008508B6">
      <w:r>
        <w:continuationSeparator/>
      </w:r>
    </w:p>
  </w:footnote>
  <w:footnote w:id="1">
    <w:p w14:paraId="7B928375" w14:textId="71E76260" w:rsidR="00665F3F" w:rsidRPr="005E6614" w:rsidRDefault="00665F3F">
      <w:pPr>
        <w:pStyle w:val="Notedebasdepage"/>
        <w:rPr>
          <w:szCs w:val="18"/>
          <w:lang w:val="fr-FR"/>
        </w:rPr>
      </w:pPr>
      <w:r w:rsidRPr="005E6614">
        <w:rPr>
          <w:rStyle w:val="Marquenotebasdepage"/>
          <w:szCs w:val="18"/>
        </w:rPr>
        <w:footnoteRef/>
      </w:r>
      <w:r w:rsidRPr="005E6614">
        <w:rPr>
          <w:szCs w:val="18"/>
          <w:lang w:val="fr-FR"/>
        </w:rPr>
        <w:t xml:space="preserve"> </w:t>
      </w:r>
      <w:r w:rsidRPr="005E6614">
        <w:rPr>
          <w:rFonts w:eastAsia="Times New Roman" w:cs="Arial"/>
          <w:szCs w:val="18"/>
          <w:lang w:val="fr-FR" w:eastAsia="fr-FR"/>
        </w:rPr>
        <w:t>H. Touraine, «</w:t>
      </w:r>
      <w:r w:rsidR="000A1956" w:rsidRPr="005E6614">
        <w:rPr>
          <w:rFonts w:eastAsia="Times New Roman" w:cs="Arial"/>
          <w:szCs w:val="18"/>
          <w:lang w:val="fr-FR" w:eastAsia="fr-FR"/>
        </w:rPr>
        <w:t xml:space="preserve"> </w:t>
      </w:r>
      <w:r w:rsidRPr="005E6614">
        <w:rPr>
          <w:rFonts w:eastAsia="Times New Roman" w:cs="Arial"/>
          <w:szCs w:val="18"/>
          <w:lang w:val="fr-FR" w:eastAsia="fr-FR"/>
        </w:rPr>
        <w:t xml:space="preserve">Finance structurée : définition, objectifs et éléments caractéristiques », </w:t>
      </w:r>
      <w:r w:rsidRPr="005E6614">
        <w:rPr>
          <w:rFonts w:eastAsia="Times New Roman" w:cs="Arial"/>
          <w:i/>
          <w:szCs w:val="18"/>
          <w:lang w:val="fr-FR" w:eastAsia="fr-FR"/>
        </w:rPr>
        <w:t>RTDF</w:t>
      </w:r>
      <w:r w:rsidRPr="005E6614">
        <w:rPr>
          <w:rFonts w:eastAsia="Times New Roman" w:cs="Arial"/>
          <w:szCs w:val="18"/>
          <w:lang w:val="fr-FR" w:eastAsia="fr-FR"/>
        </w:rPr>
        <w:t>, 2006, n° 3, p. 131 et s.</w:t>
      </w:r>
      <w:r w:rsidRPr="005E6614">
        <w:rPr>
          <w:szCs w:val="18"/>
          <w:lang w:val="fr-FR"/>
        </w:rPr>
        <w:t xml:space="preserve">  </w:t>
      </w:r>
    </w:p>
  </w:footnote>
  <w:footnote w:id="2">
    <w:p w14:paraId="583299B6" w14:textId="349EE299" w:rsidR="008C6603" w:rsidRPr="005E6614" w:rsidRDefault="008C6603" w:rsidP="008C6603">
      <w:pPr>
        <w:rPr>
          <w:rFonts w:eastAsia="Times New Roman" w:cs="Arial"/>
          <w:sz w:val="18"/>
          <w:szCs w:val="18"/>
          <w:lang w:val="fr-FR" w:eastAsia="fr-FR"/>
        </w:rPr>
      </w:pPr>
      <w:r w:rsidRPr="005E6614">
        <w:rPr>
          <w:rStyle w:val="Marquenotebasdepage"/>
          <w:rFonts w:cs="Arial"/>
          <w:sz w:val="18"/>
          <w:szCs w:val="18"/>
        </w:rPr>
        <w:footnoteRef/>
      </w:r>
      <w:r w:rsidRPr="005E6614">
        <w:rPr>
          <w:rStyle w:val="NotedebasdepageCar"/>
          <w:rFonts w:eastAsia="@Arial Unicode MS" w:cs="Arial"/>
          <w:szCs w:val="18"/>
          <w:lang w:val="fr-FR"/>
        </w:rPr>
        <w:t xml:space="preserve"> </w:t>
      </w:r>
      <w:r w:rsidRPr="005E6614">
        <w:rPr>
          <w:rFonts w:eastAsia="Times New Roman" w:cs="Arial"/>
          <w:sz w:val="18"/>
          <w:szCs w:val="18"/>
          <w:lang w:val="fr-FR" w:eastAsia="fr-FR"/>
        </w:rPr>
        <w:t>J-M Moulin</w:t>
      </w:r>
      <w:r w:rsidR="00BA758E" w:rsidRPr="005E6614">
        <w:rPr>
          <w:rFonts w:eastAsia="Times New Roman" w:cs="Arial"/>
          <w:sz w:val="18"/>
          <w:szCs w:val="18"/>
          <w:lang w:val="fr-FR" w:eastAsia="fr-FR"/>
        </w:rPr>
        <w:t>,</w:t>
      </w:r>
      <w:r w:rsidRPr="005E6614">
        <w:rPr>
          <w:rFonts w:eastAsia="Times New Roman" w:cs="Arial"/>
          <w:sz w:val="18"/>
          <w:szCs w:val="18"/>
          <w:lang w:val="fr-FR" w:eastAsia="fr-FR"/>
        </w:rPr>
        <w:t xml:space="preserve"> « Rapport introductif : qu'est-ce qu'un montage ? » </w:t>
      </w:r>
      <w:r w:rsidRPr="005E6614">
        <w:rPr>
          <w:rFonts w:eastAsia="Times New Roman" w:cs="Arial"/>
          <w:i/>
          <w:sz w:val="18"/>
          <w:szCs w:val="18"/>
          <w:lang w:val="fr-FR" w:eastAsia="fr-FR"/>
        </w:rPr>
        <w:t>RPC,</w:t>
      </w:r>
      <w:r w:rsidRPr="005E6614">
        <w:rPr>
          <w:rFonts w:eastAsia="Times New Roman" w:cs="Arial"/>
          <w:sz w:val="18"/>
          <w:szCs w:val="18"/>
          <w:lang w:val="fr-FR" w:eastAsia="fr-FR"/>
        </w:rPr>
        <w:t xml:space="preserve"> 2013,</w:t>
      </w:r>
      <w:r w:rsidR="00BA758E" w:rsidRPr="005E6614">
        <w:rPr>
          <w:rFonts w:eastAsia="Times New Roman" w:cs="Arial"/>
          <w:sz w:val="18"/>
          <w:szCs w:val="18"/>
          <w:lang w:val="fr-FR" w:eastAsia="fr-FR"/>
        </w:rPr>
        <w:t xml:space="preserve"> n° 3,</w:t>
      </w:r>
      <w:r w:rsidRPr="005E6614">
        <w:rPr>
          <w:rFonts w:eastAsia="Times New Roman" w:cs="Arial"/>
          <w:sz w:val="18"/>
          <w:szCs w:val="18"/>
          <w:lang w:val="fr-FR" w:eastAsia="fr-FR"/>
        </w:rPr>
        <w:t xml:space="preserve"> </w:t>
      </w:r>
      <w:r w:rsidR="00BA758E" w:rsidRPr="005E6614">
        <w:rPr>
          <w:rFonts w:eastAsia="Times New Roman" w:cs="Arial"/>
          <w:sz w:val="18"/>
          <w:szCs w:val="18"/>
          <w:lang w:val="fr-FR" w:eastAsia="fr-FR"/>
        </w:rPr>
        <w:t>p</w:t>
      </w:r>
      <w:r w:rsidR="005E6614" w:rsidRPr="005E6614">
        <w:rPr>
          <w:rFonts w:eastAsia="Times New Roman" w:cs="Arial"/>
          <w:sz w:val="18"/>
          <w:szCs w:val="18"/>
          <w:lang w:val="fr-FR" w:eastAsia="fr-FR"/>
        </w:rPr>
        <w:t>. </w:t>
      </w:r>
      <w:r w:rsidR="00BA758E" w:rsidRPr="005E6614">
        <w:rPr>
          <w:rFonts w:eastAsia="Times New Roman" w:cs="Arial"/>
          <w:sz w:val="18"/>
          <w:szCs w:val="18"/>
          <w:lang w:val="fr-FR" w:eastAsia="fr-FR"/>
        </w:rPr>
        <w:t>50</w:t>
      </w:r>
      <w:r w:rsidR="00665F3F" w:rsidRPr="005E6614">
        <w:rPr>
          <w:rFonts w:eastAsia="Times New Roman" w:cs="Arial"/>
          <w:sz w:val="18"/>
          <w:szCs w:val="18"/>
          <w:lang w:val="fr-FR" w:eastAsia="fr-FR"/>
        </w:rPr>
        <w:t>.</w:t>
      </w:r>
    </w:p>
  </w:footnote>
  <w:footnote w:id="3">
    <w:p w14:paraId="2032DE11" w14:textId="4E67D31C" w:rsidR="008C6603" w:rsidRPr="005E6614" w:rsidRDefault="008C6603" w:rsidP="008C6603">
      <w:pPr>
        <w:pStyle w:val="Normal0"/>
        <w:spacing w:after="0" w:line="240" w:lineRule="auto"/>
        <w:jc w:val="both"/>
        <w:rPr>
          <w:rFonts w:ascii="Garamond" w:hAnsi="Garamond" w:cs="Arial"/>
          <w:sz w:val="18"/>
          <w:szCs w:val="18"/>
        </w:rPr>
      </w:pPr>
      <w:r w:rsidRPr="005E6614">
        <w:rPr>
          <w:rStyle w:val="Marquenotebasdepage"/>
          <w:rFonts w:ascii="Garamond" w:eastAsiaTheme="minorHAnsi" w:hAnsi="Garamond" w:cs="Arial"/>
          <w:b w:val="0"/>
          <w:bCs w:val="0"/>
          <w:smallCaps w:val="0"/>
          <w:sz w:val="18"/>
          <w:szCs w:val="18"/>
          <w:lang w:val="en-GB" w:eastAsia="en-US"/>
        </w:rPr>
        <w:footnoteRef/>
      </w:r>
      <w:r w:rsidRPr="005E6614">
        <w:rPr>
          <w:rFonts w:ascii="Garamond" w:hAnsi="Garamond" w:cs="Arial"/>
          <w:b w:val="0"/>
          <w:bCs w:val="0"/>
          <w:smallCaps w:val="0"/>
          <w:sz w:val="18"/>
          <w:szCs w:val="18"/>
        </w:rPr>
        <w:t xml:space="preserve"> M. </w:t>
      </w:r>
      <w:r w:rsidR="004E1656" w:rsidRPr="005E6614">
        <w:rPr>
          <w:rFonts w:ascii="Garamond" w:hAnsi="Garamond" w:cs="Arial"/>
          <w:b w:val="0"/>
          <w:bCs w:val="0"/>
          <w:sz w:val="18"/>
          <w:szCs w:val="18"/>
        </w:rPr>
        <w:t xml:space="preserve">lyonnet </w:t>
      </w:r>
      <w:r w:rsidRPr="005E6614">
        <w:rPr>
          <w:rFonts w:ascii="Garamond" w:hAnsi="Garamond" w:cs="Arial"/>
          <w:b w:val="0"/>
          <w:bCs w:val="0"/>
          <w:sz w:val="18"/>
          <w:szCs w:val="18"/>
        </w:rPr>
        <w:t>du Moutier</w:t>
      </w:r>
      <w:r w:rsidRPr="005E6614">
        <w:rPr>
          <w:rFonts w:ascii="Garamond" w:hAnsi="Garamond" w:cs="Arial"/>
          <w:b w:val="0"/>
          <w:bCs w:val="0"/>
          <w:smallCaps w:val="0"/>
          <w:sz w:val="18"/>
          <w:szCs w:val="18"/>
        </w:rPr>
        <w:t xml:space="preserve">, </w:t>
      </w:r>
      <w:r w:rsidRPr="005E6614">
        <w:rPr>
          <w:rFonts w:ascii="Garamond" w:hAnsi="Garamond" w:cs="Arial"/>
          <w:b w:val="0"/>
          <w:bCs w:val="0"/>
          <w:i/>
          <w:smallCaps w:val="0"/>
          <w:sz w:val="18"/>
          <w:szCs w:val="18"/>
        </w:rPr>
        <w:t>L'aventure de la tour Eiffel: réalisation et financement</w:t>
      </w:r>
      <w:r w:rsidRPr="005E6614">
        <w:rPr>
          <w:rFonts w:ascii="Garamond" w:hAnsi="Garamond" w:cs="Arial"/>
          <w:b w:val="0"/>
          <w:bCs w:val="0"/>
          <w:smallCaps w:val="0"/>
          <w:sz w:val="18"/>
          <w:szCs w:val="18"/>
        </w:rPr>
        <w:t xml:space="preserve">, </w:t>
      </w:r>
      <w:r w:rsidR="00BA758E" w:rsidRPr="005E6614">
        <w:rPr>
          <w:rFonts w:ascii="Garamond" w:hAnsi="Garamond" w:cs="Arial"/>
          <w:b w:val="0"/>
          <w:bCs w:val="0"/>
          <w:smallCaps w:val="0"/>
          <w:sz w:val="18"/>
          <w:szCs w:val="18"/>
        </w:rPr>
        <w:t xml:space="preserve">2009, </w:t>
      </w:r>
      <w:r w:rsidRPr="005E6614">
        <w:rPr>
          <w:rFonts w:ascii="Garamond" w:hAnsi="Garamond" w:cs="Arial"/>
          <w:b w:val="0"/>
          <w:bCs w:val="0"/>
          <w:smallCaps w:val="0"/>
          <w:sz w:val="18"/>
          <w:szCs w:val="18"/>
        </w:rPr>
        <w:t>Publication de la Sorbonne, p.</w:t>
      </w:r>
      <w:r w:rsidR="005E6614" w:rsidRPr="005E6614">
        <w:rPr>
          <w:rFonts w:ascii="Garamond" w:hAnsi="Garamond" w:cs="Arial"/>
          <w:b w:val="0"/>
          <w:bCs w:val="0"/>
          <w:smallCaps w:val="0"/>
          <w:sz w:val="18"/>
          <w:szCs w:val="18"/>
        </w:rPr>
        <w:t xml:space="preserve"> </w:t>
      </w:r>
      <w:r w:rsidRPr="005E6614">
        <w:rPr>
          <w:rFonts w:ascii="Garamond" w:hAnsi="Garamond" w:cs="Arial"/>
          <w:b w:val="0"/>
          <w:bCs w:val="0"/>
          <w:smallCaps w:val="0"/>
          <w:sz w:val="18"/>
          <w:szCs w:val="18"/>
        </w:rPr>
        <w:t>153.</w:t>
      </w:r>
    </w:p>
  </w:footnote>
  <w:footnote w:id="4">
    <w:p w14:paraId="5A7DF8E8" w14:textId="001AB69D" w:rsidR="008C6603" w:rsidRPr="005E6614" w:rsidRDefault="008C6603" w:rsidP="008C6603">
      <w:pPr>
        <w:rPr>
          <w:rStyle w:val="NotedebasdepageCar"/>
          <w:rFonts w:cs="Arial"/>
          <w:b/>
          <w:szCs w:val="18"/>
          <w:lang w:val="fr-FR"/>
        </w:rPr>
      </w:pPr>
      <w:r w:rsidRPr="005E6614">
        <w:rPr>
          <w:rStyle w:val="Marquenotebasdepage"/>
          <w:rFonts w:cs="Arial"/>
          <w:sz w:val="18"/>
          <w:szCs w:val="18"/>
        </w:rPr>
        <w:footnoteRef/>
      </w:r>
      <w:r w:rsidRPr="005E6614">
        <w:rPr>
          <w:rStyle w:val="Marquenotebasdepage"/>
          <w:rFonts w:cs="Arial"/>
          <w:sz w:val="18"/>
          <w:szCs w:val="18"/>
          <w:lang w:val="fr-FR"/>
        </w:rPr>
        <w:t xml:space="preserve"> </w:t>
      </w:r>
      <w:r w:rsidR="00665F3F" w:rsidRPr="005E6614">
        <w:rPr>
          <w:rFonts w:eastAsia="Times New Roman" w:cs="Arial"/>
          <w:smallCaps/>
          <w:sz w:val="18"/>
          <w:szCs w:val="18"/>
          <w:lang w:val="fr-FR" w:eastAsia="fr-FR"/>
        </w:rPr>
        <w:t xml:space="preserve">J.-Ph. </w:t>
      </w:r>
      <w:r w:rsidR="004E1656" w:rsidRPr="005E6614">
        <w:rPr>
          <w:rFonts w:eastAsia="Times New Roman" w:cs="Arial"/>
          <w:smallCaps/>
          <w:sz w:val="18"/>
          <w:szCs w:val="18"/>
          <w:lang w:val="fr-FR" w:eastAsia="fr-FR"/>
        </w:rPr>
        <w:t>Dom</w:t>
      </w:r>
      <w:r w:rsidR="00665F3F" w:rsidRPr="005E6614">
        <w:rPr>
          <w:rFonts w:eastAsia="Times New Roman" w:cs="Arial"/>
          <w:sz w:val="18"/>
          <w:szCs w:val="18"/>
          <w:lang w:val="fr-FR" w:eastAsia="fr-FR"/>
        </w:rPr>
        <w:t xml:space="preserve">, </w:t>
      </w:r>
      <w:r w:rsidR="00665F3F" w:rsidRPr="005E6614">
        <w:rPr>
          <w:rFonts w:eastAsia="Times New Roman" w:cs="Arial"/>
          <w:i/>
          <w:sz w:val="18"/>
          <w:szCs w:val="18"/>
          <w:lang w:val="fr-FR" w:eastAsia="fr-FR"/>
        </w:rPr>
        <w:t>Les montages en droit des sociétés</w:t>
      </w:r>
      <w:r w:rsidR="00665F3F" w:rsidRPr="005E6614">
        <w:rPr>
          <w:rFonts w:eastAsia="Times New Roman" w:cs="Arial"/>
          <w:sz w:val="18"/>
          <w:szCs w:val="18"/>
          <w:lang w:val="fr-FR" w:eastAsia="fr-FR"/>
        </w:rPr>
        <w:t xml:space="preserve">, Joly éd. 1998, </w:t>
      </w:r>
      <w:r w:rsidR="004E56AD" w:rsidRPr="005E6614">
        <w:rPr>
          <w:rFonts w:eastAsia="Times New Roman" w:cs="Arial"/>
          <w:sz w:val="18"/>
          <w:szCs w:val="18"/>
          <w:lang w:val="fr-FR" w:eastAsia="fr-FR"/>
        </w:rPr>
        <w:t xml:space="preserve">p. 3 et s. </w:t>
      </w:r>
      <w:r w:rsidR="00665F3F" w:rsidRPr="005E6614">
        <w:rPr>
          <w:rFonts w:eastAsia="Times New Roman" w:cs="Arial"/>
          <w:sz w:val="18"/>
          <w:szCs w:val="18"/>
          <w:lang w:val="fr-FR" w:eastAsia="fr-FR"/>
        </w:rPr>
        <w:t xml:space="preserve">; </w:t>
      </w:r>
      <w:r w:rsidR="00665F3F" w:rsidRPr="005E6614">
        <w:rPr>
          <w:rFonts w:eastAsia="Times New Roman" w:cs="Arial"/>
          <w:smallCaps/>
          <w:sz w:val="18"/>
          <w:szCs w:val="18"/>
          <w:lang w:val="fr-FR" w:eastAsia="fr-FR"/>
        </w:rPr>
        <w:t xml:space="preserve">D. </w:t>
      </w:r>
      <w:proofErr w:type="spellStart"/>
      <w:r w:rsidR="004E1656" w:rsidRPr="005E6614">
        <w:rPr>
          <w:rFonts w:eastAsia="Times New Roman" w:cs="Arial"/>
          <w:smallCaps/>
          <w:sz w:val="18"/>
          <w:szCs w:val="18"/>
          <w:lang w:val="fr-FR" w:eastAsia="fr-FR"/>
        </w:rPr>
        <w:t>Poracchia</w:t>
      </w:r>
      <w:proofErr w:type="spellEnd"/>
      <w:r w:rsidR="00665F3F" w:rsidRPr="005E6614">
        <w:rPr>
          <w:rFonts w:eastAsia="Times New Roman" w:cs="Arial"/>
          <w:sz w:val="18"/>
          <w:szCs w:val="18"/>
          <w:lang w:val="fr-FR" w:eastAsia="fr-FR"/>
        </w:rPr>
        <w:t>, Recherche sur les montages conçus par les professionnels du droit, Thèse de l’</w:t>
      </w:r>
      <w:proofErr w:type="spellStart"/>
      <w:r w:rsidR="00665F3F" w:rsidRPr="005E6614">
        <w:rPr>
          <w:rFonts w:eastAsia="Times New Roman" w:cs="Arial"/>
          <w:sz w:val="18"/>
          <w:szCs w:val="18"/>
          <w:lang w:val="fr-FR" w:eastAsia="fr-FR"/>
        </w:rPr>
        <w:t>Univ</w:t>
      </w:r>
      <w:proofErr w:type="spellEnd"/>
      <w:r w:rsidR="00665F3F" w:rsidRPr="005E6614">
        <w:rPr>
          <w:rFonts w:eastAsia="Times New Roman" w:cs="Arial"/>
          <w:sz w:val="18"/>
          <w:szCs w:val="18"/>
          <w:lang w:val="fr-FR" w:eastAsia="fr-FR"/>
        </w:rPr>
        <w:t xml:space="preserve">. Aix Marseille 1998, </w:t>
      </w:r>
      <w:proofErr w:type="spellStart"/>
      <w:r w:rsidR="00665F3F" w:rsidRPr="005E6614">
        <w:rPr>
          <w:rFonts w:eastAsia="Times New Roman" w:cs="Arial"/>
          <w:sz w:val="18"/>
          <w:szCs w:val="18"/>
          <w:lang w:val="fr-FR" w:eastAsia="fr-FR"/>
        </w:rPr>
        <w:t>préf</w:t>
      </w:r>
      <w:proofErr w:type="spellEnd"/>
      <w:r w:rsidR="00665F3F" w:rsidRPr="005E6614">
        <w:rPr>
          <w:rFonts w:eastAsia="Times New Roman" w:cs="Arial"/>
          <w:sz w:val="18"/>
          <w:szCs w:val="18"/>
          <w:lang w:val="fr-FR" w:eastAsia="fr-FR"/>
        </w:rPr>
        <w:t>. de J. Mestre, PUAM, p. 2 et s</w:t>
      </w:r>
      <w:r w:rsidR="00BA758E" w:rsidRPr="005E6614">
        <w:rPr>
          <w:rFonts w:eastAsia="Times New Roman" w:cs="Arial"/>
          <w:sz w:val="18"/>
          <w:szCs w:val="18"/>
          <w:lang w:val="fr-FR" w:eastAsia="fr-FR"/>
        </w:rPr>
        <w:t xml:space="preserve"> ; </w:t>
      </w:r>
      <w:r w:rsidR="00BA758E" w:rsidRPr="005E6614">
        <w:rPr>
          <w:rFonts w:eastAsia="Times New Roman" w:cs="Arial"/>
          <w:smallCaps/>
          <w:sz w:val="18"/>
          <w:szCs w:val="18"/>
          <w:lang w:val="fr-FR" w:eastAsia="fr-FR"/>
        </w:rPr>
        <w:t>J-M Moulin</w:t>
      </w:r>
      <w:r w:rsidR="00BA758E" w:rsidRPr="005E6614">
        <w:rPr>
          <w:rFonts w:eastAsia="Times New Roman" w:cs="Arial"/>
          <w:sz w:val="18"/>
          <w:szCs w:val="18"/>
          <w:lang w:val="fr-FR" w:eastAsia="fr-FR"/>
        </w:rPr>
        <w:t xml:space="preserve">, « Rapport introductif : qu'est-ce qu'un montage ? » </w:t>
      </w:r>
      <w:r w:rsidR="00BA758E" w:rsidRPr="005E6614">
        <w:rPr>
          <w:rFonts w:eastAsia="Times New Roman" w:cs="Arial"/>
          <w:i/>
          <w:sz w:val="18"/>
          <w:szCs w:val="18"/>
          <w:lang w:val="fr-FR" w:eastAsia="fr-FR"/>
        </w:rPr>
        <w:t>RPC,</w:t>
      </w:r>
      <w:r w:rsidR="00BA758E" w:rsidRPr="005E6614">
        <w:rPr>
          <w:rFonts w:eastAsia="Times New Roman" w:cs="Arial"/>
          <w:sz w:val="18"/>
          <w:szCs w:val="18"/>
          <w:lang w:val="fr-FR" w:eastAsia="fr-FR"/>
        </w:rPr>
        <w:t xml:space="preserve"> 2013, n° 3, p</w:t>
      </w:r>
      <w:r w:rsidR="005E6614" w:rsidRPr="005E6614">
        <w:rPr>
          <w:rFonts w:eastAsia="Times New Roman" w:cs="Arial"/>
          <w:sz w:val="18"/>
          <w:szCs w:val="18"/>
          <w:lang w:val="fr-FR" w:eastAsia="fr-FR"/>
        </w:rPr>
        <w:t>.</w:t>
      </w:r>
      <w:r w:rsidR="00BA758E" w:rsidRPr="005E6614">
        <w:rPr>
          <w:rFonts w:eastAsia="Times New Roman" w:cs="Arial"/>
          <w:sz w:val="18"/>
          <w:szCs w:val="18"/>
          <w:lang w:val="fr-FR" w:eastAsia="fr-FR"/>
        </w:rPr>
        <w:t xml:space="preserve"> 50.</w:t>
      </w:r>
    </w:p>
  </w:footnote>
  <w:footnote w:id="5">
    <w:p w14:paraId="068B7083" w14:textId="5EC30A36" w:rsidR="004E1656" w:rsidRPr="005E6614" w:rsidRDefault="004E1656">
      <w:pPr>
        <w:pStyle w:val="Notedebasdepage"/>
        <w:rPr>
          <w:rFonts w:eastAsia="Times New Roman" w:cs="Arial"/>
          <w:szCs w:val="18"/>
          <w:lang w:val="fr-FR" w:eastAsia="fr-FR"/>
        </w:rPr>
      </w:pPr>
      <w:r w:rsidRPr="005E6614">
        <w:rPr>
          <w:rStyle w:val="Marquenotebasdepage"/>
          <w:szCs w:val="18"/>
        </w:rPr>
        <w:footnoteRef/>
      </w:r>
      <w:r w:rsidRPr="005E6614">
        <w:rPr>
          <w:szCs w:val="18"/>
          <w:lang w:val="fr-FR"/>
        </w:rPr>
        <w:t xml:space="preserve"> </w:t>
      </w:r>
      <w:r w:rsidRPr="005E6614">
        <w:rPr>
          <w:rFonts w:eastAsia="Times New Roman" w:cs="Arial"/>
          <w:smallCaps/>
          <w:szCs w:val="18"/>
          <w:lang w:val="fr-FR" w:eastAsia="fr-FR"/>
        </w:rPr>
        <w:t xml:space="preserve">Z. </w:t>
      </w:r>
      <w:proofErr w:type="spellStart"/>
      <w:r w:rsidRPr="005E6614">
        <w:rPr>
          <w:rFonts w:eastAsia="Times New Roman" w:cs="Arial"/>
          <w:smallCaps/>
          <w:szCs w:val="18"/>
          <w:lang w:val="fr-FR" w:eastAsia="fr-FR"/>
        </w:rPr>
        <w:t>Sekfali</w:t>
      </w:r>
      <w:proofErr w:type="spellEnd"/>
      <w:r w:rsidRPr="005E6614">
        <w:rPr>
          <w:rFonts w:eastAsia="Times New Roman" w:cs="Arial"/>
          <w:smallCaps/>
          <w:szCs w:val="18"/>
          <w:lang w:val="fr-FR" w:eastAsia="fr-FR"/>
        </w:rPr>
        <w:t>,</w:t>
      </w:r>
      <w:r w:rsidRPr="005E6614">
        <w:rPr>
          <w:szCs w:val="18"/>
          <w:lang w:val="fr-FR"/>
        </w:rPr>
        <w:t xml:space="preserve"> </w:t>
      </w:r>
      <w:r w:rsidRPr="005E6614">
        <w:rPr>
          <w:rFonts w:eastAsia="Times New Roman" w:cs="Arial"/>
          <w:i/>
          <w:szCs w:val="18"/>
          <w:lang w:val="fr-FR" w:eastAsia="fr-FR"/>
        </w:rPr>
        <w:t>Droit des financements structurés</w:t>
      </w:r>
      <w:r w:rsidRPr="005E6614">
        <w:rPr>
          <w:i/>
          <w:iCs/>
          <w:szCs w:val="18"/>
          <w:lang w:val="fr-FR"/>
        </w:rPr>
        <w:t xml:space="preserve">, </w:t>
      </w:r>
      <w:r w:rsidRPr="005E6614">
        <w:rPr>
          <w:rFonts w:eastAsia="Times New Roman" w:cs="Arial"/>
          <w:szCs w:val="18"/>
          <w:lang w:val="fr-FR" w:eastAsia="fr-FR"/>
        </w:rPr>
        <w:t>2004</w:t>
      </w:r>
      <w:r w:rsidRPr="005E6614">
        <w:rPr>
          <w:szCs w:val="18"/>
          <w:lang w:val="fr-FR"/>
        </w:rPr>
        <w:t xml:space="preserve">, </w:t>
      </w:r>
      <w:r w:rsidRPr="005E6614">
        <w:rPr>
          <w:rFonts w:eastAsia="Times New Roman" w:cs="Arial"/>
          <w:szCs w:val="18"/>
          <w:lang w:val="fr-FR" w:eastAsia="fr-FR"/>
        </w:rPr>
        <w:t>Revue Banque</w:t>
      </w:r>
      <w:r w:rsidR="004C4E04" w:rsidRPr="005E6614">
        <w:rPr>
          <w:rFonts w:eastAsia="Times New Roman" w:cs="Arial"/>
          <w:szCs w:val="18"/>
          <w:lang w:val="fr-FR" w:eastAsia="fr-FR"/>
        </w:rPr>
        <w:t>, p. 2 et s.</w:t>
      </w:r>
      <w:r w:rsidRPr="005E6614">
        <w:rPr>
          <w:rFonts w:eastAsia="Times New Roman" w:cs="Arial"/>
          <w:szCs w:val="18"/>
          <w:lang w:val="fr-FR" w:eastAsia="fr-FR"/>
        </w:rPr>
        <w:t xml:space="preserve">  </w:t>
      </w:r>
    </w:p>
  </w:footnote>
  <w:footnote w:id="6">
    <w:p w14:paraId="2DC2C81B" w14:textId="5C5AFD2A" w:rsidR="008C6603" w:rsidRPr="005E6614" w:rsidRDefault="008C6603" w:rsidP="008C6603">
      <w:pPr>
        <w:pStyle w:val="Notedebasdepage"/>
        <w:rPr>
          <w:rStyle w:val="NotedebasdepageCar"/>
          <w:rFonts w:cs="Arial"/>
          <w:szCs w:val="18"/>
          <w:lang w:val="fr-FR"/>
        </w:rPr>
      </w:pPr>
      <w:r w:rsidRPr="005E6614">
        <w:rPr>
          <w:rStyle w:val="Marquenotebasdepage"/>
          <w:rFonts w:cs="Arial"/>
          <w:szCs w:val="18"/>
        </w:rPr>
        <w:footnoteRef/>
      </w:r>
      <w:r w:rsidRPr="005E6614">
        <w:rPr>
          <w:rStyle w:val="Marquenotebasdepage"/>
          <w:rFonts w:cs="Arial"/>
          <w:szCs w:val="18"/>
          <w:lang w:val="fr-FR"/>
        </w:rPr>
        <w:t xml:space="preserve">  </w:t>
      </w:r>
      <w:r w:rsidRPr="005E6614">
        <w:rPr>
          <w:rStyle w:val="NotedebasdepageCar"/>
          <w:rFonts w:cs="Arial"/>
          <w:szCs w:val="18"/>
          <w:lang w:val="fr-FR"/>
        </w:rPr>
        <w:t xml:space="preserve">Y. </w:t>
      </w:r>
      <w:r w:rsidRPr="005E6614">
        <w:rPr>
          <w:rStyle w:val="NotedebasdepageCar"/>
          <w:rFonts w:cs="Arial"/>
          <w:smallCaps/>
          <w:szCs w:val="18"/>
          <w:lang w:val="fr-FR"/>
        </w:rPr>
        <w:t>Guyon</w:t>
      </w:r>
      <w:r w:rsidRPr="005E6614">
        <w:rPr>
          <w:rStyle w:val="NotedebasdepageCar"/>
          <w:rFonts w:cs="Arial"/>
          <w:szCs w:val="18"/>
          <w:lang w:val="fr-FR"/>
        </w:rPr>
        <w:t xml:space="preserve">, « Le droit des contrats à l’épreuve du droit des procédures collectives », Mélange J. </w:t>
      </w:r>
      <w:proofErr w:type="spellStart"/>
      <w:r w:rsidRPr="005E6614">
        <w:rPr>
          <w:rStyle w:val="NotedebasdepageCar"/>
          <w:rFonts w:cs="Arial"/>
          <w:szCs w:val="18"/>
          <w:lang w:val="fr-FR"/>
        </w:rPr>
        <w:t>Ghestin</w:t>
      </w:r>
      <w:proofErr w:type="spellEnd"/>
      <w:r w:rsidRPr="005E6614">
        <w:rPr>
          <w:rStyle w:val="NotedebasdepageCar"/>
          <w:rFonts w:cs="Arial"/>
          <w:szCs w:val="18"/>
          <w:lang w:val="fr-FR"/>
        </w:rPr>
        <w:t xml:space="preserve">, </w:t>
      </w:r>
      <w:r w:rsidRPr="005E6614">
        <w:rPr>
          <w:rStyle w:val="NotedebasdepageCar"/>
          <w:rFonts w:cs="Arial"/>
          <w:i/>
          <w:szCs w:val="18"/>
          <w:lang w:val="fr-FR"/>
        </w:rPr>
        <w:t>LGDJ</w:t>
      </w:r>
      <w:r w:rsidR="004E56AD" w:rsidRPr="005E6614">
        <w:rPr>
          <w:rStyle w:val="NotedebasdepageCar"/>
          <w:rFonts w:cs="Arial"/>
          <w:szCs w:val="18"/>
          <w:lang w:val="fr-FR"/>
        </w:rPr>
        <w:t xml:space="preserve">, </w:t>
      </w:r>
      <w:r w:rsidRPr="005E6614">
        <w:rPr>
          <w:rStyle w:val="NotedebasdepageCar"/>
          <w:rFonts w:cs="Arial"/>
          <w:szCs w:val="18"/>
          <w:lang w:val="fr-FR"/>
        </w:rPr>
        <w:t>2001, p.405.</w:t>
      </w:r>
    </w:p>
  </w:footnote>
  <w:footnote w:id="7">
    <w:p w14:paraId="248375E6" w14:textId="3F6AE6A1" w:rsidR="008C6603" w:rsidRPr="005E6614" w:rsidRDefault="008C6603" w:rsidP="008C6603">
      <w:pPr>
        <w:pStyle w:val="Notedebasdepage"/>
        <w:rPr>
          <w:rStyle w:val="NotedebasdepageCar"/>
          <w:rFonts w:cs="Arial"/>
          <w:szCs w:val="18"/>
          <w:lang w:val="fr-FR"/>
        </w:rPr>
      </w:pPr>
      <w:r w:rsidRPr="005E6614">
        <w:rPr>
          <w:rStyle w:val="Marquenotebasdepage"/>
          <w:rFonts w:cs="Arial"/>
          <w:szCs w:val="18"/>
        </w:rPr>
        <w:footnoteRef/>
      </w:r>
      <w:r w:rsidRPr="005E6614">
        <w:rPr>
          <w:rFonts w:cs="Arial"/>
          <w:szCs w:val="18"/>
          <w:lang w:val="fr-FR"/>
        </w:rPr>
        <w:t xml:space="preserve"> </w:t>
      </w:r>
      <w:r w:rsidR="004E56AD" w:rsidRPr="005E6614">
        <w:rPr>
          <w:szCs w:val="18"/>
          <w:lang w:val="fr-FR"/>
        </w:rPr>
        <w:t>Cass. com., 21 mars 2006, n° 04-17.869, Khalifa Airways; note L.C. Henry, D., juin 2006, n°</w:t>
      </w:r>
      <w:r w:rsidR="005E6614" w:rsidRPr="005E6614">
        <w:rPr>
          <w:szCs w:val="18"/>
          <w:lang w:val="fr-FR"/>
        </w:rPr>
        <w:t xml:space="preserve"> </w:t>
      </w:r>
      <w:r w:rsidR="004E56AD" w:rsidRPr="005E6614">
        <w:rPr>
          <w:szCs w:val="18"/>
          <w:lang w:val="fr-FR"/>
        </w:rPr>
        <w:t xml:space="preserve">21, p. 1466 ; note </w:t>
      </w:r>
      <w:r w:rsidR="004E56AD" w:rsidRPr="005E6614">
        <w:rPr>
          <w:rStyle w:val="NotedebasdepageCar"/>
          <w:rFonts w:cs="Arial"/>
          <w:smallCaps/>
          <w:szCs w:val="18"/>
          <w:lang w:val="fr-FR"/>
        </w:rPr>
        <w:t xml:space="preserve">A. </w:t>
      </w:r>
      <w:proofErr w:type="spellStart"/>
      <w:r w:rsidR="004E56AD" w:rsidRPr="005E6614">
        <w:rPr>
          <w:rStyle w:val="NotedebasdepageCar"/>
          <w:rFonts w:cs="Arial"/>
          <w:smallCaps/>
          <w:szCs w:val="18"/>
          <w:lang w:val="fr-FR"/>
        </w:rPr>
        <w:t>Lienhard</w:t>
      </w:r>
      <w:proofErr w:type="spellEnd"/>
      <w:r w:rsidR="004E56AD" w:rsidRPr="005E6614">
        <w:rPr>
          <w:szCs w:val="18"/>
          <w:lang w:val="fr-FR"/>
        </w:rPr>
        <w:t>, D., mars 2006, n°</w:t>
      </w:r>
      <w:r w:rsidR="005E6614" w:rsidRPr="005E6614">
        <w:rPr>
          <w:szCs w:val="18"/>
          <w:lang w:val="fr-FR"/>
        </w:rPr>
        <w:t xml:space="preserve"> </w:t>
      </w:r>
      <w:r w:rsidR="004E56AD" w:rsidRPr="005E6614">
        <w:rPr>
          <w:szCs w:val="18"/>
          <w:lang w:val="fr-FR"/>
        </w:rPr>
        <w:t xml:space="preserve">13, p. 914 ; note </w:t>
      </w:r>
      <w:r w:rsidR="005E6614" w:rsidRPr="005E6614">
        <w:rPr>
          <w:rStyle w:val="NotedebasdepageCar"/>
          <w:rFonts w:cs="Arial"/>
          <w:smallCaps/>
          <w:szCs w:val="18"/>
          <w:lang w:val="fr-FR"/>
        </w:rPr>
        <w:t>J-P. </w:t>
      </w:r>
      <w:r w:rsidR="004E56AD" w:rsidRPr="005E6614">
        <w:rPr>
          <w:rStyle w:val="NotedebasdepageCar"/>
          <w:rFonts w:cs="Arial"/>
          <w:smallCaps/>
          <w:szCs w:val="18"/>
          <w:lang w:val="fr-FR"/>
        </w:rPr>
        <w:t>Legros</w:t>
      </w:r>
      <w:r w:rsidR="004E56AD" w:rsidRPr="005E6614">
        <w:rPr>
          <w:szCs w:val="18"/>
          <w:lang w:val="fr-FR"/>
        </w:rPr>
        <w:t>, JCP. E, juillet 2006, n°</w:t>
      </w:r>
      <w:r w:rsidR="005E6614" w:rsidRPr="005E6614">
        <w:rPr>
          <w:szCs w:val="18"/>
          <w:lang w:val="fr-FR"/>
        </w:rPr>
        <w:t xml:space="preserve"> </w:t>
      </w:r>
      <w:r w:rsidR="004E56AD" w:rsidRPr="005E6614">
        <w:rPr>
          <w:szCs w:val="18"/>
          <w:lang w:val="fr-FR"/>
        </w:rPr>
        <w:t xml:space="preserve">27, p. 1227.  </w:t>
      </w:r>
    </w:p>
  </w:footnote>
  <w:footnote w:id="8">
    <w:p w14:paraId="2F57FC49" w14:textId="0302F3D3" w:rsidR="00636360" w:rsidRPr="005E6614" w:rsidRDefault="00636360">
      <w:pPr>
        <w:pStyle w:val="Notedebasdepage"/>
        <w:rPr>
          <w:szCs w:val="18"/>
          <w:lang w:val="fr-FR"/>
        </w:rPr>
      </w:pPr>
      <w:r w:rsidRPr="005E6614">
        <w:rPr>
          <w:rStyle w:val="Marquenotebasdepage"/>
          <w:szCs w:val="18"/>
        </w:rPr>
        <w:footnoteRef/>
      </w:r>
      <w:r w:rsidRPr="005E6614">
        <w:rPr>
          <w:szCs w:val="18"/>
          <w:lang w:val="fr-FR"/>
        </w:rPr>
        <w:t xml:space="preserve"> Article 65 de la loi n° 85-98 du 25 janvier 1985 relative au redressement et à la liquidation judiciaires des entreprises.</w:t>
      </w:r>
    </w:p>
  </w:footnote>
  <w:footnote w:id="9">
    <w:p w14:paraId="2A208AD9" w14:textId="4E25B0B7" w:rsidR="00586EB0" w:rsidRPr="005E6614" w:rsidRDefault="00586EB0">
      <w:pPr>
        <w:pStyle w:val="Notedebasdepage"/>
        <w:rPr>
          <w:szCs w:val="18"/>
          <w:lang w:val="fr-FR"/>
        </w:rPr>
      </w:pPr>
      <w:r w:rsidRPr="005E6614">
        <w:rPr>
          <w:rStyle w:val="Marquenotebasdepage"/>
          <w:szCs w:val="18"/>
        </w:rPr>
        <w:footnoteRef/>
      </w:r>
      <w:r w:rsidRPr="005E6614">
        <w:rPr>
          <w:szCs w:val="18"/>
          <w:lang w:val="fr-FR"/>
        </w:rPr>
        <w:t xml:space="preserve"> Article 65 de l’ordonnance n° 2008-1345 du 18 décembre 2008 portant réforme du droit</w:t>
      </w:r>
      <w:r w:rsidR="006A5E8D" w:rsidRPr="005E6614">
        <w:rPr>
          <w:szCs w:val="18"/>
          <w:lang w:val="fr-FR"/>
        </w:rPr>
        <w:t xml:space="preserve"> des entreprises en difficulté.</w:t>
      </w:r>
    </w:p>
  </w:footnote>
  <w:footnote w:id="10">
    <w:p w14:paraId="6C1B23FC" w14:textId="51903045" w:rsidR="005F344A" w:rsidRPr="005E6614" w:rsidRDefault="005F344A">
      <w:pPr>
        <w:pStyle w:val="Notedebasdepage"/>
        <w:rPr>
          <w:szCs w:val="18"/>
          <w:lang w:val="fr-FR"/>
        </w:rPr>
      </w:pPr>
      <w:r w:rsidRPr="005E6614">
        <w:rPr>
          <w:rStyle w:val="Marquenotebasdepage"/>
          <w:szCs w:val="18"/>
        </w:rPr>
        <w:footnoteRef/>
      </w:r>
      <w:r w:rsidRPr="005E6614">
        <w:rPr>
          <w:szCs w:val="18"/>
          <w:lang w:val="fr-FR"/>
        </w:rPr>
        <w:t xml:space="preserve"> </w:t>
      </w:r>
      <w:r w:rsidR="006A5E8D" w:rsidRPr="005E6614">
        <w:rPr>
          <w:szCs w:val="18"/>
          <w:lang w:val="fr-FR"/>
        </w:rPr>
        <w:t>Article L</w:t>
      </w:r>
      <w:r w:rsidR="005E6614" w:rsidRPr="005E6614">
        <w:rPr>
          <w:szCs w:val="18"/>
          <w:lang w:val="fr-FR"/>
        </w:rPr>
        <w:t xml:space="preserve">. </w:t>
      </w:r>
      <w:r w:rsidR="006A5E8D" w:rsidRPr="005E6614">
        <w:rPr>
          <w:szCs w:val="18"/>
          <w:lang w:val="fr-FR"/>
        </w:rPr>
        <w:t>628-1 du code de commerce.</w:t>
      </w:r>
    </w:p>
  </w:footnote>
  <w:footnote w:id="11">
    <w:p w14:paraId="6DDCA16C" w14:textId="2398A3FB" w:rsidR="005F344A" w:rsidRPr="005E6614" w:rsidRDefault="005F344A">
      <w:pPr>
        <w:pStyle w:val="Notedebasdepage"/>
        <w:rPr>
          <w:szCs w:val="18"/>
          <w:lang w:val="fr-FR"/>
        </w:rPr>
      </w:pPr>
      <w:r w:rsidRPr="005E6614">
        <w:rPr>
          <w:rStyle w:val="Marquenotebasdepage"/>
          <w:szCs w:val="18"/>
        </w:rPr>
        <w:footnoteRef/>
      </w:r>
      <w:r w:rsidRPr="005E6614">
        <w:rPr>
          <w:szCs w:val="18"/>
          <w:lang w:val="fr-FR"/>
        </w:rPr>
        <w:t xml:space="preserve"> </w:t>
      </w:r>
      <w:r w:rsidRPr="005E6614">
        <w:rPr>
          <w:rStyle w:val="NotedebasdepageCar"/>
          <w:rFonts w:cs="Arial"/>
          <w:smallCaps/>
          <w:szCs w:val="18"/>
          <w:lang w:val="fr-FR"/>
        </w:rPr>
        <w:t>P.M. Le corre,</w:t>
      </w:r>
      <w:r w:rsidRPr="005E6614">
        <w:rPr>
          <w:szCs w:val="18"/>
          <w:lang w:val="fr-FR"/>
        </w:rPr>
        <w:t xml:space="preserve"> « L’avènement prochain d’une procédure semi-collective », GP, 2010, n°</w:t>
      </w:r>
      <w:r w:rsidR="005E6614" w:rsidRPr="005E6614">
        <w:rPr>
          <w:szCs w:val="18"/>
          <w:lang w:val="fr-FR"/>
        </w:rPr>
        <w:t xml:space="preserve"> </w:t>
      </w:r>
      <w:r w:rsidRPr="005E6614">
        <w:rPr>
          <w:szCs w:val="18"/>
          <w:lang w:val="fr-FR"/>
        </w:rPr>
        <w:t>219, p. 3</w:t>
      </w:r>
      <w:r w:rsidR="006A5E8D" w:rsidRPr="005E6614">
        <w:rPr>
          <w:szCs w:val="18"/>
          <w:lang w:val="fr-FR"/>
        </w:rPr>
        <w:t xml:space="preserve"> </w:t>
      </w:r>
      <w:r w:rsidRPr="005E6614">
        <w:rPr>
          <w:szCs w:val="18"/>
          <w:lang w:val="fr-FR"/>
        </w:rPr>
        <w:t>;</w:t>
      </w:r>
      <w:r w:rsidR="006A5E8D" w:rsidRPr="005E6614">
        <w:rPr>
          <w:szCs w:val="18"/>
          <w:lang w:val="fr-FR"/>
        </w:rPr>
        <w:t xml:space="preserve"> </w:t>
      </w:r>
      <w:r w:rsidR="006A5E8D" w:rsidRPr="005E6614">
        <w:rPr>
          <w:rStyle w:val="NotedebasdepageCar"/>
          <w:rFonts w:cs="Arial"/>
          <w:smallCaps/>
          <w:szCs w:val="18"/>
          <w:lang w:val="fr-FR"/>
        </w:rPr>
        <w:t>F.X Lucas</w:t>
      </w:r>
      <w:r w:rsidR="006A5E8D" w:rsidRPr="005E6614">
        <w:rPr>
          <w:szCs w:val="18"/>
          <w:lang w:val="fr-FR"/>
        </w:rPr>
        <w:t xml:space="preserve">, « Caractère collectif de la procédure et sauvegarde financière accélérée », RPC, 2012, n° 3, p. 93.  </w:t>
      </w:r>
      <w:r w:rsidRPr="005E6614">
        <w:rPr>
          <w:szCs w:val="18"/>
          <w:lang w:val="fr-FR"/>
        </w:rPr>
        <w:t xml:space="preserve">  </w:t>
      </w:r>
    </w:p>
  </w:footnote>
  <w:footnote w:id="12">
    <w:p w14:paraId="5A960D1B" w14:textId="77777777" w:rsidR="006A5E8D" w:rsidRPr="005E6614" w:rsidRDefault="006A5E8D" w:rsidP="006A5E8D">
      <w:pPr>
        <w:pStyle w:val="Notedebasdepage"/>
        <w:rPr>
          <w:szCs w:val="18"/>
          <w:lang w:val="fr-FR"/>
        </w:rPr>
      </w:pPr>
      <w:r w:rsidRPr="005E6614">
        <w:rPr>
          <w:rStyle w:val="Marquenotebasdepage"/>
          <w:szCs w:val="18"/>
        </w:rPr>
        <w:footnoteRef/>
      </w:r>
      <w:r w:rsidRPr="005E6614">
        <w:rPr>
          <w:szCs w:val="18"/>
          <w:lang w:val="fr-FR"/>
        </w:rPr>
        <w:t xml:space="preserve"> Article L628-1 du code de commerce.</w:t>
      </w:r>
    </w:p>
  </w:footnote>
  <w:footnote w:id="13">
    <w:p w14:paraId="38A04786" w14:textId="2F748EE4" w:rsidR="006A5E8D" w:rsidRPr="005E6614" w:rsidRDefault="006A5E8D">
      <w:pPr>
        <w:pStyle w:val="Notedebasdepage"/>
        <w:rPr>
          <w:szCs w:val="18"/>
          <w:lang w:val="fr-FR"/>
        </w:rPr>
      </w:pPr>
      <w:r w:rsidRPr="005E6614">
        <w:rPr>
          <w:rStyle w:val="Marquenotebasdepage"/>
          <w:szCs w:val="18"/>
        </w:rPr>
        <w:footnoteRef/>
      </w:r>
      <w:r w:rsidRPr="005E6614">
        <w:rPr>
          <w:szCs w:val="18"/>
          <w:lang w:val="fr-FR"/>
        </w:rPr>
        <w:t xml:space="preserve"> </w:t>
      </w:r>
      <w:r w:rsidRPr="005E6614">
        <w:rPr>
          <w:rStyle w:val="NotedebasdepageCar"/>
          <w:rFonts w:cs="Arial"/>
          <w:smallCaps/>
          <w:szCs w:val="18"/>
          <w:lang w:val="fr-FR"/>
        </w:rPr>
        <w:t>P. Thomas</w:t>
      </w:r>
      <w:r w:rsidRPr="005E6614">
        <w:rPr>
          <w:szCs w:val="18"/>
          <w:lang w:val="fr-FR"/>
        </w:rPr>
        <w:t xml:space="preserve"> et </w:t>
      </w:r>
      <w:r w:rsidRPr="005E6614">
        <w:rPr>
          <w:rStyle w:val="NotedebasdepageCar"/>
          <w:rFonts w:cs="Arial"/>
          <w:smallCaps/>
          <w:szCs w:val="18"/>
          <w:lang w:val="fr-FR"/>
        </w:rPr>
        <w:t>X. Couderc-</w:t>
      </w:r>
      <w:proofErr w:type="spellStart"/>
      <w:r w:rsidRPr="005E6614">
        <w:rPr>
          <w:rStyle w:val="NotedebasdepageCar"/>
          <w:rFonts w:cs="Arial"/>
          <w:smallCaps/>
          <w:szCs w:val="18"/>
          <w:lang w:val="fr-FR"/>
        </w:rPr>
        <w:t>Fani</w:t>
      </w:r>
      <w:proofErr w:type="spellEnd"/>
      <w:r w:rsidRPr="005E6614">
        <w:rPr>
          <w:szCs w:val="18"/>
          <w:lang w:val="fr-FR"/>
        </w:rPr>
        <w:t xml:space="preserve">, « Incertaine efficacité et alternatives aux doubles </w:t>
      </w:r>
      <w:r w:rsidRPr="005E6614">
        <w:rPr>
          <w:i/>
          <w:iCs/>
          <w:szCs w:val="18"/>
          <w:lang w:val="fr-FR"/>
        </w:rPr>
        <w:t>Lux-co »</w:t>
      </w:r>
      <w:r w:rsidRPr="005E6614">
        <w:rPr>
          <w:szCs w:val="18"/>
          <w:lang w:val="fr-FR"/>
        </w:rPr>
        <w:t xml:space="preserve">, RDBF, 2015, n° 4, p. 20 et s., </w:t>
      </w:r>
      <w:r w:rsidRPr="005E6614">
        <w:rPr>
          <w:rStyle w:val="NotedebasdepageCar"/>
          <w:rFonts w:cs="Arial"/>
          <w:smallCaps/>
          <w:szCs w:val="18"/>
          <w:lang w:val="fr-FR"/>
        </w:rPr>
        <w:t>R. Dammann</w:t>
      </w:r>
      <w:r w:rsidRPr="005E6614">
        <w:rPr>
          <w:szCs w:val="18"/>
          <w:lang w:val="fr-FR"/>
        </w:rPr>
        <w:t xml:space="preserve"> et </w:t>
      </w:r>
      <w:r w:rsidRPr="005E6614">
        <w:rPr>
          <w:rStyle w:val="NotedebasdepageCar"/>
          <w:rFonts w:cs="Arial"/>
          <w:smallCaps/>
          <w:szCs w:val="18"/>
          <w:lang w:val="fr-FR"/>
        </w:rPr>
        <w:t xml:space="preserve">A. </w:t>
      </w:r>
      <w:proofErr w:type="spellStart"/>
      <w:r w:rsidRPr="005E6614">
        <w:rPr>
          <w:rStyle w:val="NotedebasdepageCar"/>
          <w:rFonts w:cs="Arial"/>
          <w:smallCaps/>
          <w:szCs w:val="18"/>
          <w:lang w:val="fr-FR"/>
        </w:rPr>
        <w:t>Lavenant</w:t>
      </w:r>
      <w:proofErr w:type="spellEnd"/>
      <w:r w:rsidRPr="005E6614">
        <w:rPr>
          <w:szCs w:val="18"/>
          <w:lang w:val="fr-FR"/>
        </w:rPr>
        <w:t xml:space="preserve">, « Percer le mystère du montage « double </w:t>
      </w:r>
      <w:proofErr w:type="spellStart"/>
      <w:r w:rsidRPr="005E6614">
        <w:rPr>
          <w:szCs w:val="18"/>
          <w:lang w:val="fr-FR"/>
        </w:rPr>
        <w:t>LuxCo</w:t>
      </w:r>
      <w:proofErr w:type="spellEnd"/>
      <w:r w:rsidRPr="005E6614">
        <w:rPr>
          <w:szCs w:val="18"/>
          <w:lang w:val="fr-FR"/>
        </w:rPr>
        <w:t xml:space="preserve"> » », BJE., 2013, n° 5, p. 268 et s. ; </w:t>
      </w:r>
      <w:r w:rsidRPr="005E6614">
        <w:rPr>
          <w:rStyle w:val="NotedebasdepageCar"/>
          <w:rFonts w:cs="Arial"/>
          <w:smallCaps/>
          <w:szCs w:val="18"/>
          <w:lang w:val="fr-FR"/>
        </w:rPr>
        <w:t xml:space="preserve">A. </w:t>
      </w:r>
      <w:proofErr w:type="spellStart"/>
      <w:r w:rsidRPr="005E6614">
        <w:rPr>
          <w:rStyle w:val="NotedebasdepageCar"/>
          <w:rFonts w:cs="Arial"/>
          <w:smallCaps/>
          <w:szCs w:val="18"/>
          <w:lang w:val="fr-FR"/>
        </w:rPr>
        <w:t>Bordenave</w:t>
      </w:r>
      <w:proofErr w:type="spellEnd"/>
      <w:r w:rsidRPr="005E6614">
        <w:rPr>
          <w:szCs w:val="18"/>
          <w:lang w:val="fr-FR"/>
        </w:rPr>
        <w:t xml:space="preserve"> et </w:t>
      </w:r>
      <w:r w:rsidRPr="005E6614">
        <w:rPr>
          <w:rStyle w:val="NotedebasdepageCar"/>
          <w:rFonts w:cs="Arial"/>
          <w:smallCaps/>
          <w:szCs w:val="18"/>
          <w:lang w:val="fr-FR"/>
        </w:rPr>
        <w:t xml:space="preserve">T. </w:t>
      </w:r>
      <w:proofErr w:type="spellStart"/>
      <w:r w:rsidRPr="005E6614">
        <w:rPr>
          <w:rStyle w:val="NotedebasdepageCar"/>
          <w:rFonts w:cs="Arial"/>
          <w:smallCaps/>
          <w:szCs w:val="18"/>
          <w:lang w:val="fr-FR"/>
        </w:rPr>
        <w:t>Granier</w:t>
      </w:r>
      <w:proofErr w:type="spellEnd"/>
      <w:r w:rsidRPr="005E6614">
        <w:rPr>
          <w:szCs w:val="18"/>
          <w:lang w:val="fr-FR"/>
        </w:rPr>
        <w:t xml:space="preserve">, « De la « double peine » en cas de recours à une « double </w:t>
      </w:r>
      <w:proofErr w:type="spellStart"/>
      <w:r w:rsidRPr="005E6614">
        <w:rPr>
          <w:szCs w:val="18"/>
          <w:lang w:val="fr-FR"/>
        </w:rPr>
        <w:t>LuxCo</w:t>
      </w:r>
      <w:proofErr w:type="spellEnd"/>
      <w:r w:rsidRPr="005E6614">
        <w:rPr>
          <w:szCs w:val="18"/>
          <w:lang w:val="fr-FR"/>
        </w:rPr>
        <w:t xml:space="preserve"> » ? », option finance, 2011, Lettre M&amp;A et </w:t>
      </w:r>
      <w:proofErr w:type="spellStart"/>
      <w:r w:rsidRPr="005E6614">
        <w:rPr>
          <w:i/>
          <w:szCs w:val="18"/>
          <w:lang w:val="fr-FR"/>
        </w:rPr>
        <w:t>Private</w:t>
      </w:r>
      <w:proofErr w:type="spellEnd"/>
      <w:r w:rsidRPr="005E6614">
        <w:rPr>
          <w:i/>
          <w:szCs w:val="18"/>
          <w:lang w:val="fr-FR"/>
        </w:rPr>
        <w:t xml:space="preserve"> </w:t>
      </w:r>
      <w:proofErr w:type="spellStart"/>
      <w:r w:rsidRPr="005E6614">
        <w:rPr>
          <w:i/>
          <w:szCs w:val="18"/>
          <w:lang w:val="fr-FR"/>
        </w:rPr>
        <w:t>Equity</w:t>
      </w:r>
      <w:proofErr w:type="spellEnd"/>
      <w:r w:rsidRPr="005E6614">
        <w:rPr>
          <w:i/>
          <w:szCs w:val="18"/>
          <w:lang w:val="fr-FR"/>
        </w:rPr>
        <w:t>,</w:t>
      </w:r>
      <w:r w:rsidRPr="005E6614">
        <w:rPr>
          <w:szCs w:val="18"/>
          <w:lang w:val="fr-FR"/>
        </w:rPr>
        <w:t xml:space="preserve"> p.11.  </w:t>
      </w:r>
    </w:p>
  </w:footnote>
  <w:footnote w:id="14">
    <w:p w14:paraId="624EB3F9" w14:textId="31D790A7" w:rsidR="008C6603" w:rsidRPr="005E6614" w:rsidRDefault="008C6603" w:rsidP="008C6603">
      <w:pPr>
        <w:pStyle w:val="Notedebasdepage"/>
        <w:rPr>
          <w:rFonts w:cs="Arial"/>
          <w:szCs w:val="18"/>
          <w:lang w:val="fr-FR"/>
        </w:rPr>
      </w:pPr>
      <w:r w:rsidRPr="005E6614">
        <w:rPr>
          <w:rStyle w:val="Marquenotebasdepage"/>
          <w:rFonts w:cs="Arial"/>
          <w:szCs w:val="18"/>
        </w:rPr>
        <w:footnoteRef/>
      </w:r>
      <w:r w:rsidRPr="005E6614">
        <w:rPr>
          <w:rStyle w:val="Marquenotebasdepage"/>
          <w:rFonts w:cs="Arial"/>
          <w:szCs w:val="18"/>
          <w:lang w:val="fr-FR"/>
        </w:rPr>
        <w:t xml:space="preserve"> </w:t>
      </w:r>
      <w:r w:rsidR="00834FA3" w:rsidRPr="005E6614">
        <w:rPr>
          <w:rFonts w:cs="Arial"/>
          <w:smallCaps/>
          <w:szCs w:val="18"/>
          <w:lang w:val="fr-FR"/>
        </w:rPr>
        <w:t xml:space="preserve">M-H </w:t>
      </w:r>
      <w:proofErr w:type="spellStart"/>
      <w:r w:rsidR="00834FA3" w:rsidRPr="005E6614">
        <w:rPr>
          <w:rFonts w:cs="Arial"/>
          <w:smallCaps/>
          <w:szCs w:val="18"/>
          <w:lang w:val="fr-FR"/>
        </w:rPr>
        <w:t>Monsèrié</w:t>
      </w:r>
      <w:proofErr w:type="spellEnd"/>
      <w:r w:rsidR="00834FA3" w:rsidRPr="005E6614">
        <w:rPr>
          <w:rFonts w:cs="Arial"/>
          <w:smallCaps/>
          <w:szCs w:val="18"/>
          <w:lang w:val="fr-FR"/>
        </w:rPr>
        <w:t>-Bon</w:t>
      </w:r>
      <w:r w:rsidR="00834FA3" w:rsidRPr="005E6614">
        <w:rPr>
          <w:rFonts w:cs="Arial"/>
          <w:szCs w:val="18"/>
          <w:lang w:val="fr-FR"/>
        </w:rPr>
        <w:t xml:space="preserve"> et </w:t>
      </w:r>
      <w:r w:rsidR="00834FA3" w:rsidRPr="005E6614">
        <w:rPr>
          <w:rFonts w:cs="Arial"/>
          <w:smallCaps/>
          <w:szCs w:val="18"/>
          <w:lang w:val="fr-FR"/>
        </w:rPr>
        <w:t xml:space="preserve">G. </w:t>
      </w:r>
      <w:proofErr w:type="spellStart"/>
      <w:r w:rsidR="00834FA3" w:rsidRPr="005E6614">
        <w:rPr>
          <w:rFonts w:cs="Arial"/>
          <w:smallCaps/>
          <w:szCs w:val="18"/>
          <w:lang w:val="fr-FR"/>
        </w:rPr>
        <w:t>Jazottes</w:t>
      </w:r>
      <w:proofErr w:type="spellEnd"/>
      <w:r w:rsidR="00834FA3" w:rsidRPr="005E6614">
        <w:rPr>
          <w:rFonts w:cs="Arial"/>
          <w:szCs w:val="18"/>
          <w:lang w:val="fr-FR"/>
        </w:rPr>
        <w:t>, « Les groupes et les stratégies des créanciers », RPC, 2013, n°</w:t>
      </w:r>
      <w:r w:rsidR="005E6614" w:rsidRPr="005E6614">
        <w:rPr>
          <w:rFonts w:cs="Arial"/>
          <w:szCs w:val="18"/>
          <w:lang w:val="fr-FR"/>
        </w:rPr>
        <w:t xml:space="preserve"> </w:t>
      </w:r>
      <w:r w:rsidR="00834FA3" w:rsidRPr="005E6614">
        <w:rPr>
          <w:rFonts w:cs="Arial"/>
          <w:szCs w:val="18"/>
          <w:lang w:val="fr-FR"/>
        </w:rPr>
        <w:t>6, p. 72 et s.</w:t>
      </w:r>
    </w:p>
  </w:footnote>
  <w:footnote w:id="15">
    <w:p w14:paraId="005B32E0" w14:textId="2D3ECC9E" w:rsidR="008C6603" w:rsidRPr="005E6614" w:rsidRDefault="008C6603" w:rsidP="008C6603">
      <w:pPr>
        <w:pStyle w:val="Notedebasdepage"/>
        <w:rPr>
          <w:rFonts w:cs="Arial"/>
          <w:szCs w:val="18"/>
        </w:rPr>
      </w:pPr>
      <w:r w:rsidRPr="005E6614">
        <w:rPr>
          <w:rStyle w:val="Marquenotebasdepage"/>
          <w:rFonts w:cs="Arial"/>
          <w:szCs w:val="18"/>
        </w:rPr>
        <w:footnoteRef/>
      </w:r>
      <w:r w:rsidRPr="005E6614">
        <w:rPr>
          <w:rStyle w:val="Marquenotebasdepage"/>
          <w:rFonts w:cs="Arial"/>
          <w:szCs w:val="18"/>
        </w:rPr>
        <w:t xml:space="preserve"> </w:t>
      </w:r>
      <w:r w:rsidRPr="005E6614">
        <w:rPr>
          <w:rFonts w:cs="Arial"/>
          <w:smallCaps/>
          <w:szCs w:val="18"/>
          <w:lang w:val="fr-FR"/>
        </w:rPr>
        <w:t xml:space="preserve">W. G. </w:t>
      </w:r>
      <w:proofErr w:type="spellStart"/>
      <w:r w:rsidRPr="005E6614">
        <w:rPr>
          <w:rFonts w:cs="Arial"/>
          <w:smallCaps/>
          <w:szCs w:val="18"/>
          <w:lang w:val="fr-FR"/>
        </w:rPr>
        <w:t>Ringe</w:t>
      </w:r>
      <w:proofErr w:type="spellEnd"/>
      <w:r w:rsidRPr="005E6614">
        <w:rPr>
          <w:rFonts w:cs="Arial"/>
          <w:szCs w:val="18"/>
        </w:rPr>
        <w:t xml:space="preserve">, « Forum Shopping under the EU Insolvency Regulation », University of Oxford, Faculty of Law, </w:t>
      </w:r>
      <w:proofErr w:type="spellStart"/>
      <w:r w:rsidRPr="005E6614">
        <w:rPr>
          <w:rFonts w:cs="Arial"/>
          <w:szCs w:val="18"/>
        </w:rPr>
        <w:t>Aout</w:t>
      </w:r>
      <w:proofErr w:type="spellEnd"/>
      <w:r w:rsidRPr="005E6614">
        <w:rPr>
          <w:rFonts w:cs="Arial"/>
          <w:szCs w:val="18"/>
        </w:rPr>
        <w:t xml:space="preserve"> 2008 ; </w:t>
      </w:r>
      <w:r w:rsidRPr="005E6614">
        <w:rPr>
          <w:rFonts w:cs="Arial"/>
          <w:smallCaps/>
          <w:szCs w:val="18"/>
          <w:lang w:val="fr-FR"/>
        </w:rPr>
        <w:t>L. Webb and M. Butter</w:t>
      </w:r>
      <w:r w:rsidRPr="005E6614">
        <w:rPr>
          <w:rFonts w:cs="Arial"/>
          <w:szCs w:val="18"/>
        </w:rPr>
        <w:t>, « Insolvency proceedings. Shopping for the best forum », PLC Magazine</w:t>
      </w:r>
      <w:r w:rsidR="00834FA3" w:rsidRPr="005E6614">
        <w:rPr>
          <w:rFonts w:cs="Arial"/>
          <w:szCs w:val="18"/>
        </w:rPr>
        <w:t>,</w:t>
      </w:r>
      <w:r w:rsidRPr="005E6614">
        <w:rPr>
          <w:rFonts w:cs="Arial"/>
          <w:szCs w:val="18"/>
        </w:rPr>
        <w:t xml:space="preserve"> 2009.</w:t>
      </w:r>
    </w:p>
  </w:footnote>
  <w:footnote w:id="16">
    <w:p w14:paraId="45BB5F91" w14:textId="77777777" w:rsidR="008C6603" w:rsidRPr="005E6614" w:rsidRDefault="008C6603" w:rsidP="008C6603">
      <w:pPr>
        <w:pStyle w:val="Notedebasdepage"/>
        <w:rPr>
          <w:rFonts w:cs="Arial"/>
          <w:szCs w:val="18"/>
          <w:lang w:val="fr-FR"/>
        </w:rPr>
      </w:pPr>
      <w:r w:rsidRPr="005E6614">
        <w:rPr>
          <w:rStyle w:val="Marquenotebasdepage"/>
          <w:rFonts w:cs="Arial"/>
          <w:szCs w:val="18"/>
        </w:rPr>
        <w:footnoteRef/>
      </w:r>
      <w:r w:rsidRPr="005E6614">
        <w:rPr>
          <w:rStyle w:val="Marquenotebasdepage"/>
          <w:rFonts w:cs="Arial"/>
          <w:szCs w:val="18"/>
        </w:rPr>
        <w:t xml:space="preserve"> </w:t>
      </w:r>
      <w:r w:rsidRPr="005E6614">
        <w:rPr>
          <w:rStyle w:val="NotedebasdepageCar"/>
          <w:rFonts w:cs="Arial"/>
          <w:szCs w:val="18"/>
        </w:rPr>
        <w:t xml:space="preserve">CJCE </w:t>
      </w:r>
      <w:proofErr w:type="spellStart"/>
      <w:proofErr w:type="gramStart"/>
      <w:r w:rsidRPr="005E6614">
        <w:rPr>
          <w:rStyle w:val="NotedebasdepageCar"/>
          <w:rFonts w:cs="Arial"/>
          <w:szCs w:val="18"/>
        </w:rPr>
        <w:t>Eurofood</w:t>
      </w:r>
      <w:proofErr w:type="spellEnd"/>
      <w:r w:rsidRPr="005E6614">
        <w:rPr>
          <w:rStyle w:val="NotedebasdepageCar"/>
          <w:rFonts w:cs="Arial"/>
          <w:szCs w:val="18"/>
        </w:rPr>
        <w:t xml:space="preserve"> ,</w:t>
      </w:r>
      <w:proofErr w:type="gramEnd"/>
      <w:r w:rsidRPr="005E6614">
        <w:rPr>
          <w:rStyle w:val="NotedebasdepageCar"/>
          <w:rFonts w:cs="Arial"/>
          <w:szCs w:val="18"/>
        </w:rPr>
        <w:t xml:space="preserve"> 2 </w:t>
      </w:r>
      <w:proofErr w:type="spellStart"/>
      <w:r w:rsidRPr="005E6614">
        <w:rPr>
          <w:rStyle w:val="NotedebasdepageCar"/>
          <w:rFonts w:cs="Arial"/>
          <w:szCs w:val="18"/>
        </w:rPr>
        <w:t>mai</w:t>
      </w:r>
      <w:proofErr w:type="spellEnd"/>
      <w:r w:rsidRPr="005E6614">
        <w:rPr>
          <w:rStyle w:val="NotedebasdepageCar"/>
          <w:rFonts w:cs="Arial"/>
          <w:szCs w:val="18"/>
        </w:rPr>
        <w:t xml:space="preserve"> 2006, n° 2006-400085, </w:t>
      </w:r>
      <w:r w:rsidRPr="005E6614">
        <w:rPr>
          <w:smallCaps/>
          <w:szCs w:val="18"/>
          <w:lang w:val="fr-FR"/>
        </w:rPr>
        <w:t>R. Dammann</w:t>
      </w:r>
      <w:r w:rsidRPr="005E6614">
        <w:rPr>
          <w:rStyle w:val="NotedebasdepageCar"/>
          <w:rFonts w:cs="Arial"/>
          <w:szCs w:val="18"/>
        </w:rPr>
        <w:t xml:space="preserve">, D. 2006, p. 1286, </w:t>
      </w:r>
      <w:r w:rsidRPr="005E6614">
        <w:rPr>
          <w:smallCaps/>
          <w:szCs w:val="18"/>
          <w:lang w:val="fr-FR"/>
        </w:rPr>
        <w:t>F.-X. Lucas</w:t>
      </w:r>
      <w:r w:rsidRPr="005E6614">
        <w:rPr>
          <w:rStyle w:val="NotedebasdepageCar"/>
          <w:rFonts w:cs="Arial"/>
          <w:szCs w:val="18"/>
        </w:rPr>
        <w:t xml:space="preserve">, D. 2006, Pan. 2251, </w:t>
      </w:r>
      <w:r w:rsidRPr="005E6614">
        <w:rPr>
          <w:smallCaps/>
          <w:szCs w:val="18"/>
          <w:lang w:val="fr-FR"/>
        </w:rPr>
        <w:t>J</w:t>
      </w:r>
      <w:proofErr w:type="gramStart"/>
      <w:r w:rsidRPr="005E6614">
        <w:rPr>
          <w:smallCaps/>
          <w:szCs w:val="18"/>
          <w:lang w:val="fr-FR"/>
        </w:rPr>
        <w:t>.-</w:t>
      </w:r>
      <w:proofErr w:type="gramEnd"/>
      <w:r w:rsidRPr="005E6614">
        <w:rPr>
          <w:smallCaps/>
          <w:szCs w:val="18"/>
          <w:lang w:val="fr-FR"/>
        </w:rPr>
        <w:t xml:space="preserve">P. </w:t>
      </w:r>
      <w:proofErr w:type="spellStart"/>
      <w:r w:rsidRPr="005E6614">
        <w:rPr>
          <w:smallCaps/>
          <w:szCs w:val="18"/>
          <w:lang w:val="fr-FR"/>
        </w:rPr>
        <w:t>Rémery</w:t>
      </w:r>
      <w:proofErr w:type="spellEnd"/>
      <w:r w:rsidRPr="005E6614">
        <w:rPr>
          <w:rStyle w:val="NotedebasdepageCar"/>
          <w:rFonts w:cs="Arial"/>
          <w:szCs w:val="18"/>
        </w:rPr>
        <w:t xml:space="preserve">,  Rev. </w:t>
      </w:r>
      <w:proofErr w:type="spellStart"/>
      <w:r w:rsidRPr="005E6614">
        <w:rPr>
          <w:rStyle w:val="NotedebasdepageCar"/>
          <w:rFonts w:cs="Arial"/>
          <w:szCs w:val="18"/>
        </w:rPr>
        <w:t>sociétés</w:t>
      </w:r>
      <w:proofErr w:type="spellEnd"/>
      <w:r w:rsidRPr="005E6614">
        <w:rPr>
          <w:rStyle w:val="NotedebasdepageCar"/>
          <w:rFonts w:cs="Arial"/>
          <w:szCs w:val="18"/>
        </w:rPr>
        <w:t xml:space="preserve"> 2006, p. 360, </w:t>
      </w:r>
      <w:r w:rsidRPr="005E6614">
        <w:rPr>
          <w:smallCaps/>
          <w:szCs w:val="18"/>
          <w:lang w:val="fr-FR"/>
        </w:rPr>
        <w:t xml:space="preserve">M. </w:t>
      </w:r>
      <w:proofErr w:type="spellStart"/>
      <w:r w:rsidRPr="005E6614">
        <w:rPr>
          <w:smallCaps/>
          <w:szCs w:val="18"/>
          <w:lang w:val="fr-FR"/>
        </w:rPr>
        <w:t>Menjucq</w:t>
      </w:r>
      <w:proofErr w:type="spellEnd"/>
      <w:r w:rsidRPr="005E6614">
        <w:rPr>
          <w:rStyle w:val="NotedebasdepageCar"/>
          <w:rFonts w:cs="Arial"/>
          <w:szCs w:val="18"/>
        </w:rPr>
        <w:t xml:space="preserve">, JCP G 2006, II, 10089.CJUE, </w:t>
      </w:r>
      <w:proofErr w:type="spellStart"/>
      <w:r w:rsidRPr="005E6614">
        <w:rPr>
          <w:rStyle w:val="NotedebasdepageCar"/>
          <w:rFonts w:cs="Arial"/>
          <w:szCs w:val="18"/>
        </w:rPr>
        <w:t>Interedil</w:t>
      </w:r>
      <w:proofErr w:type="spellEnd"/>
      <w:r w:rsidRPr="005E6614">
        <w:rPr>
          <w:rStyle w:val="NotedebasdepageCar"/>
          <w:rFonts w:cs="Arial"/>
          <w:szCs w:val="18"/>
        </w:rPr>
        <w:t xml:space="preserve">, 20 </w:t>
      </w:r>
      <w:proofErr w:type="spellStart"/>
      <w:r w:rsidRPr="005E6614">
        <w:rPr>
          <w:rStyle w:val="NotedebasdepageCar"/>
          <w:rFonts w:cs="Arial"/>
          <w:szCs w:val="18"/>
        </w:rPr>
        <w:t>oct.</w:t>
      </w:r>
      <w:proofErr w:type="spellEnd"/>
      <w:r w:rsidRPr="005E6614">
        <w:rPr>
          <w:rStyle w:val="NotedebasdepageCar"/>
          <w:rFonts w:cs="Arial"/>
          <w:szCs w:val="18"/>
        </w:rPr>
        <w:t xml:space="preserve"> 2011, n° 2011-025332, </w:t>
      </w:r>
      <w:r w:rsidRPr="005E6614">
        <w:rPr>
          <w:smallCaps/>
          <w:szCs w:val="18"/>
          <w:lang w:val="fr-FR"/>
        </w:rPr>
        <w:t xml:space="preserve">M. </w:t>
      </w:r>
      <w:proofErr w:type="spellStart"/>
      <w:r w:rsidRPr="005E6614">
        <w:rPr>
          <w:smallCaps/>
          <w:szCs w:val="18"/>
          <w:lang w:val="fr-FR"/>
        </w:rPr>
        <w:t>Menjucq</w:t>
      </w:r>
      <w:proofErr w:type="spellEnd"/>
      <w:r w:rsidRPr="005E6614">
        <w:rPr>
          <w:rStyle w:val="NotedebasdepageCar"/>
          <w:rFonts w:cs="Arial"/>
          <w:szCs w:val="18"/>
        </w:rPr>
        <w:t xml:space="preserve">, RPC, 2011, comm. </w:t>
      </w:r>
      <w:r w:rsidRPr="005E6614">
        <w:rPr>
          <w:rStyle w:val="NotedebasdepageCar"/>
          <w:rFonts w:cs="Arial"/>
          <w:szCs w:val="18"/>
          <w:lang w:val="fr-FR"/>
        </w:rPr>
        <w:t xml:space="preserve">177 et </w:t>
      </w:r>
      <w:proofErr w:type="spellStart"/>
      <w:r w:rsidRPr="005E6614">
        <w:rPr>
          <w:rStyle w:val="NotedebasdepageCar"/>
          <w:rFonts w:cs="Arial"/>
          <w:szCs w:val="18"/>
          <w:lang w:val="fr-FR"/>
        </w:rPr>
        <w:t>ét</w:t>
      </w:r>
      <w:proofErr w:type="spellEnd"/>
      <w:r w:rsidRPr="005E6614">
        <w:rPr>
          <w:rStyle w:val="NotedebasdepageCar"/>
          <w:rFonts w:cs="Arial"/>
          <w:szCs w:val="18"/>
          <w:lang w:val="fr-FR"/>
        </w:rPr>
        <w:t xml:space="preserve">. 32, </w:t>
      </w:r>
      <w:r w:rsidRPr="005E6614">
        <w:rPr>
          <w:smallCaps/>
          <w:szCs w:val="18"/>
        </w:rPr>
        <w:t>R. Dammann</w:t>
      </w:r>
      <w:r w:rsidRPr="005E6614">
        <w:rPr>
          <w:rStyle w:val="NotedebasdepageCar"/>
          <w:rFonts w:cs="Arial"/>
          <w:szCs w:val="18"/>
          <w:lang w:val="fr-FR"/>
        </w:rPr>
        <w:t xml:space="preserve"> et </w:t>
      </w:r>
      <w:r w:rsidRPr="005E6614">
        <w:rPr>
          <w:smallCaps/>
          <w:szCs w:val="18"/>
        </w:rPr>
        <w:t>A. Albertini</w:t>
      </w:r>
      <w:r w:rsidRPr="005E6614">
        <w:rPr>
          <w:rStyle w:val="NotedebasdepageCar"/>
          <w:rFonts w:cs="Arial"/>
          <w:szCs w:val="18"/>
          <w:lang w:val="fr-FR"/>
        </w:rPr>
        <w:t xml:space="preserve">, JCP E 2012, 1309, obs.; </w:t>
      </w:r>
      <w:r w:rsidRPr="005E6614">
        <w:rPr>
          <w:smallCaps/>
          <w:szCs w:val="18"/>
        </w:rPr>
        <w:t>J.-E. Kuntz</w:t>
      </w:r>
      <w:r w:rsidRPr="005E6614">
        <w:rPr>
          <w:rStyle w:val="NotedebasdepageCar"/>
          <w:rFonts w:cs="Arial"/>
          <w:szCs w:val="18"/>
          <w:lang w:val="fr-FR"/>
        </w:rPr>
        <w:t xml:space="preserve"> </w:t>
      </w:r>
      <w:proofErr w:type="gramStart"/>
      <w:r w:rsidRPr="005E6614">
        <w:rPr>
          <w:rStyle w:val="NotedebasdepageCar"/>
          <w:rFonts w:cs="Arial"/>
          <w:szCs w:val="18"/>
          <w:lang w:val="fr-FR"/>
        </w:rPr>
        <w:t>et</w:t>
      </w:r>
      <w:proofErr w:type="gramEnd"/>
      <w:r w:rsidRPr="005E6614">
        <w:rPr>
          <w:rStyle w:val="NotedebasdepageCar"/>
          <w:rFonts w:cs="Arial"/>
          <w:szCs w:val="18"/>
          <w:lang w:val="fr-FR"/>
        </w:rPr>
        <w:t xml:space="preserve"> </w:t>
      </w:r>
      <w:r w:rsidRPr="005E6614">
        <w:rPr>
          <w:smallCaps/>
          <w:szCs w:val="18"/>
        </w:rPr>
        <w:t xml:space="preserve">V. </w:t>
      </w:r>
      <w:proofErr w:type="spellStart"/>
      <w:r w:rsidRPr="005E6614">
        <w:rPr>
          <w:smallCaps/>
          <w:szCs w:val="18"/>
        </w:rPr>
        <w:t>Nurit</w:t>
      </w:r>
      <w:proofErr w:type="spellEnd"/>
      <w:r w:rsidRPr="005E6614">
        <w:rPr>
          <w:rStyle w:val="NotedebasdepageCar"/>
          <w:rFonts w:cs="Arial"/>
          <w:szCs w:val="18"/>
          <w:lang w:val="fr-FR"/>
        </w:rPr>
        <w:t xml:space="preserve">, Bull. </w:t>
      </w:r>
      <w:proofErr w:type="spellStart"/>
      <w:r w:rsidRPr="005E6614">
        <w:rPr>
          <w:rStyle w:val="NotedebasdepageCar"/>
          <w:rFonts w:cs="Arial"/>
          <w:szCs w:val="18"/>
          <w:lang w:val="fr-FR"/>
        </w:rPr>
        <w:t>Jol</w:t>
      </w:r>
      <w:proofErr w:type="spellEnd"/>
      <w:r w:rsidRPr="005E6614">
        <w:rPr>
          <w:rStyle w:val="NotedebasdepageCar"/>
          <w:rFonts w:cs="Arial"/>
          <w:szCs w:val="18"/>
          <w:lang w:val="fr-FR"/>
        </w:rPr>
        <w:t>. Soc. févr. 2012, p. 164, n° 68.</w:t>
      </w:r>
    </w:p>
  </w:footnote>
  <w:footnote w:id="17">
    <w:p w14:paraId="54AD987B" w14:textId="7665D17C" w:rsidR="00C41113" w:rsidRPr="005E6614" w:rsidRDefault="00C41113">
      <w:pPr>
        <w:pStyle w:val="Notedebasdepage"/>
        <w:rPr>
          <w:szCs w:val="18"/>
          <w:lang w:val="fr-FR"/>
        </w:rPr>
      </w:pPr>
      <w:r w:rsidRPr="005E6614">
        <w:rPr>
          <w:rStyle w:val="Marquenotebasdepage"/>
          <w:szCs w:val="18"/>
        </w:rPr>
        <w:footnoteRef/>
      </w:r>
      <w:r w:rsidRPr="005E6614">
        <w:rPr>
          <w:szCs w:val="18"/>
          <w:lang w:val="fr-FR"/>
        </w:rPr>
        <w:t xml:space="preserve"> </w:t>
      </w:r>
      <w:r w:rsidRPr="005E6614">
        <w:rPr>
          <w:smallCaps/>
          <w:szCs w:val="18"/>
        </w:rPr>
        <w:t>X. Etienne</w:t>
      </w:r>
      <w:r w:rsidRPr="005E6614">
        <w:rPr>
          <w:szCs w:val="18"/>
          <w:lang w:val="fr-FR"/>
        </w:rPr>
        <w:t xml:space="preserve"> </w:t>
      </w:r>
      <w:proofErr w:type="gramStart"/>
      <w:r w:rsidRPr="005E6614">
        <w:rPr>
          <w:szCs w:val="18"/>
          <w:lang w:val="fr-FR"/>
        </w:rPr>
        <w:t>et</w:t>
      </w:r>
      <w:proofErr w:type="gramEnd"/>
      <w:r w:rsidRPr="005E6614">
        <w:rPr>
          <w:szCs w:val="18"/>
          <w:lang w:val="fr-FR"/>
        </w:rPr>
        <w:t xml:space="preserve"> </w:t>
      </w:r>
      <w:r w:rsidRPr="005E6614">
        <w:rPr>
          <w:smallCaps/>
          <w:szCs w:val="18"/>
        </w:rPr>
        <w:t xml:space="preserve">J-P. </w:t>
      </w:r>
      <w:proofErr w:type="spellStart"/>
      <w:r w:rsidRPr="005E6614">
        <w:rPr>
          <w:smallCaps/>
          <w:szCs w:val="18"/>
        </w:rPr>
        <w:t>Brillet</w:t>
      </w:r>
      <w:proofErr w:type="spellEnd"/>
      <w:r w:rsidRPr="005E6614">
        <w:rPr>
          <w:szCs w:val="18"/>
          <w:lang w:val="fr-FR"/>
        </w:rPr>
        <w:t xml:space="preserve">, « Une des conséquences de la crise financière sur la structuration des </w:t>
      </w:r>
      <w:proofErr w:type="gramStart"/>
      <w:r w:rsidRPr="005E6614">
        <w:rPr>
          <w:szCs w:val="18"/>
          <w:lang w:val="fr-FR"/>
        </w:rPr>
        <w:t>transactions :</w:t>
      </w:r>
      <w:proofErr w:type="gramEnd"/>
      <w:r w:rsidRPr="005E6614">
        <w:rPr>
          <w:szCs w:val="18"/>
          <w:lang w:val="fr-FR"/>
        </w:rPr>
        <w:t xml:space="preserve"> la « double </w:t>
      </w:r>
      <w:r w:rsidRPr="005E6614">
        <w:rPr>
          <w:i/>
          <w:iCs/>
          <w:szCs w:val="18"/>
          <w:lang w:val="fr-FR"/>
        </w:rPr>
        <w:t>Lux-</w:t>
      </w:r>
      <w:proofErr w:type="spellStart"/>
      <w:r w:rsidRPr="005E6614">
        <w:rPr>
          <w:i/>
          <w:iCs/>
          <w:szCs w:val="18"/>
          <w:lang w:val="fr-FR"/>
        </w:rPr>
        <w:t>co</w:t>
      </w:r>
      <w:proofErr w:type="spellEnd"/>
      <w:r w:rsidRPr="005E6614">
        <w:rPr>
          <w:i/>
          <w:iCs/>
          <w:szCs w:val="18"/>
          <w:lang w:val="fr-FR"/>
        </w:rPr>
        <w:t xml:space="preserve"> </w:t>
      </w:r>
      <w:r w:rsidRPr="005E6614">
        <w:rPr>
          <w:szCs w:val="18"/>
          <w:lang w:val="fr-FR"/>
        </w:rPr>
        <w:t xml:space="preserve">», Option Finance, 2011, .n°1112, p. 29.  </w:t>
      </w:r>
    </w:p>
  </w:footnote>
  <w:footnote w:id="18">
    <w:p w14:paraId="404E0D40" w14:textId="77777777" w:rsidR="008C6603" w:rsidRPr="005E6614" w:rsidRDefault="008C6603" w:rsidP="008C6603">
      <w:pPr>
        <w:pStyle w:val="Notedebasdepage"/>
        <w:rPr>
          <w:rStyle w:val="NotedebasdepageCar"/>
          <w:rFonts w:cs="Arial"/>
          <w:szCs w:val="18"/>
          <w:lang w:val="fr-FR"/>
        </w:rPr>
      </w:pPr>
      <w:r w:rsidRPr="005E6614">
        <w:rPr>
          <w:rStyle w:val="Marquenotebasdepage"/>
          <w:rFonts w:cs="Arial"/>
          <w:szCs w:val="18"/>
        </w:rPr>
        <w:footnoteRef/>
      </w:r>
      <w:r w:rsidRPr="005E6614">
        <w:rPr>
          <w:rFonts w:cs="Arial"/>
          <w:szCs w:val="18"/>
          <w:lang w:val="fr-FR"/>
        </w:rPr>
        <w:t xml:space="preserve"> </w:t>
      </w:r>
      <w:r w:rsidRPr="005E6614">
        <w:rPr>
          <w:rStyle w:val="NotedebasdepageCar"/>
          <w:rFonts w:cs="Arial"/>
          <w:szCs w:val="18"/>
          <w:lang w:val="fr-FR"/>
        </w:rPr>
        <w:t>Art. 3 du Règlement européen n°1346/2000 du 29 mai 2000 relatif aux procédures d’insolvabilité.</w:t>
      </w:r>
    </w:p>
  </w:footnote>
  <w:footnote w:id="19">
    <w:p w14:paraId="0D5F34BB" w14:textId="7E2E0EB1" w:rsidR="008C6603" w:rsidRPr="005E6614" w:rsidRDefault="008C6603" w:rsidP="008C6603">
      <w:pPr>
        <w:pStyle w:val="Notedebasdepage"/>
        <w:rPr>
          <w:rFonts w:cs="Arial"/>
          <w:szCs w:val="18"/>
          <w:lang w:val="fr-FR"/>
        </w:rPr>
      </w:pPr>
      <w:r w:rsidRPr="005E6614">
        <w:rPr>
          <w:rStyle w:val="Marquenotebasdepage"/>
          <w:rFonts w:cs="Arial"/>
          <w:szCs w:val="18"/>
        </w:rPr>
        <w:footnoteRef/>
      </w:r>
      <w:r w:rsidRPr="005E6614">
        <w:rPr>
          <w:rStyle w:val="NotedebasdepageCar"/>
          <w:rFonts w:cs="Arial"/>
          <w:szCs w:val="18"/>
          <w:lang w:val="fr-FR"/>
        </w:rPr>
        <w:t xml:space="preserve"> Cass. com., 8 mars 2011, n° 10-13.988, 10-13.989 et 10-13.990, P</w:t>
      </w:r>
      <w:r w:rsidR="004E56AD" w:rsidRPr="005E6614">
        <w:rPr>
          <w:rStyle w:val="NotedebasdepageCar"/>
          <w:rFonts w:cs="Arial"/>
          <w:szCs w:val="18"/>
          <w:lang w:val="fr-FR"/>
        </w:rPr>
        <w:t xml:space="preserve">+B+R+I, Sté Heart of La Défense ; </w:t>
      </w:r>
      <w:r w:rsidR="004E56AD" w:rsidRPr="005E6614">
        <w:rPr>
          <w:szCs w:val="18"/>
          <w:lang w:val="fr-FR"/>
        </w:rPr>
        <w:t xml:space="preserve">note </w:t>
      </w:r>
      <w:r w:rsidR="004E56AD" w:rsidRPr="005E6614">
        <w:rPr>
          <w:smallCaps/>
          <w:szCs w:val="18"/>
        </w:rPr>
        <w:t>Ph. Roussel Galle</w:t>
      </w:r>
      <w:r w:rsidR="004E56AD" w:rsidRPr="005E6614">
        <w:rPr>
          <w:szCs w:val="18"/>
          <w:lang w:val="fr-FR"/>
        </w:rPr>
        <w:t xml:space="preserve">, D. Lettre </w:t>
      </w:r>
      <w:proofErr w:type="spellStart"/>
      <w:r w:rsidR="004E56AD" w:rsidRPr="005E6614">
        <w:rPr>
          <w:szCs w:val="18"/>
          <w:lang w:val="fr-FR"/>
        </w:rPr>
        <w:t>Omnidroit</w:t>
      </w:r>
      <w:proofErr w:type="spellEnd"/>
      <w:r w:rsidR="004E56AD" w:rsidRPr="005E6614">
        <w:rPr>
          <w:szCs w:val="18"/>
          <w:lang w:val="fr-FR"/>
        </w:rPr>
        <w:t xml:space="preserve">, mars 2011, n° 138, p. 2; note </w:t>
      </w:r>
      <w:r w:rsidR="004E56AD" w:rsidRPr="005E6614">
        <w:rPr>
          <w:smallCaps/>
          <w:szCs w:val="18"/>
        </w:rPr>
        <w:t xml:space="preserve">M. </w:t>
      </w:r>
      <w:proofErr w:type="spellStart"/>
      <w:r w:rsidR="004E56AD" w:rsidRPr="005E6614">
        <w:rPr>
          <w:smallCaps/>
          <w:szCs w:val="18"/>
        </w:rPr>
        <w:t>Menjucq</w:t>
      </w:r>
      <w:proofErr w:type="spellEnd"/>
      <w:r w:rsidR="004E56AD" w:rsidRPr="005E6614">
        <w:rPr>
          <w:szCs w:val="18"/>
          <w:lang w:val="fr-FR"/>
        </w:rPr>
        <w:t>, RPC, mars 2011, n°2, p. 1 et s</w:t>
      </w:r>
      <w:proofErr w:type="gramStart"/>
      <w:r w:rsidR="004E56AD" w:rsidRPr="005E6614">
        <w:rPr>
          <w:szCs w:val="18"/>
          <w:lang w:val="fr-FR"/>
        </w:rPr>
        <w:t>. ;</w:t>
      </w:r>
      <w:proofErr w:type="gramEnd"/>
      <w:r w:rsidR="004E56AD" w:rsidRPr="005E6614">
        <w:rPr>
          <w:szCs w:val="18"/>
          <w:lang w:val="fr-FR"/>
        </w:rPr>
        <w:t xml:space="preserve"> note </w:t>
      </w:r>
      <w:r w:rsidR="004E56AD" w:rsidRPr="005E6614">
        <w:rPr>
          <w:smallCaps/>
          <w:szCs w:val="18"/>
        </w:rPr>
        <w:t xml:space="preserve">B. </w:t>
      </w:r>
      <w:proofErr w:type="spellStart"/>
      <w:r w:rsidR="004E56AD" w:rsidRPr="005E6614">
        <w:rPr>
          <w:smallCaps/>
          <w:szCs w:val="18"/>
        </w:rPr>
        <w:t>Saintourens</w:t>
      </w:r>
      <w:proofErr w:type="spellEnd"/>
      <w:r w:rsidR="004E56AD" w:rsidRPr="005E6614">
        <w:rPr>
          <w:szCs w:val="18"/>
          <w:lang w:val="fr-FR"/>
        </w:rPr>
        <w:t xml:space="preserve">, </w:t>
      </w:r>
      <w:proofErr w:type="spellStart"/>
      <w:r w:rsidR="004E56AD" w:rsidRPr="005E6614">
        <w:rPr>
          <w:szCs w:val="18"/>
          <w:lang w:val="fr-FR"/>
        </w:rPr>
        <w:t>act</w:t>
      </w:r>
      <w:proofErr w:type="spellEnd"/>
      <w:r w:rsidR="004E56AD" w:rsidRPr="005E6614">
        <w:rPr>
          <w:szCs w:val="18"/>
          <w:lang w:val="fr-FR"/>
        </w:rPr>
        <w:t xml:space="preserve">. proc. coll. avril 2011, n°7, p.1 ; note </w:t>
      </w:r>
      <w:r w:rsidR="004E56AD" w:rsidRPr="005E6614">
        <w:rPr>
          <w:smallCaps/>
          <w:szCs w:val="18"/>
        </w:rPr>
        <w:t xml:space="preserve">L. </w:t>
      </w:r>
      <w:proofErr w:type="spellStart"/>
      <w:r w:rsidR="004E56AD" w:rsidRPr="005E6614">
        <w:rPr>
          <w:smallCaps/>
          <w:szCs w:val="18"/>
        </w:rPr>
        <w:t>Arcelin</w:t>
      </w:r>
      <w:proofErr w:type="spellEnd"/>
      <w:r w:rsidR="004E56AD" w:rsidRPr="005E6614">
        <w:rPr>
          <w:smallCaps/>
          <w:szCs w:val="18"/>
        </w:rPr>
        <w:t xml:space="preserve"> </w:t>
      </w:r>
      <w:proofErr w:type="spellStart"/>
      <w:r w:rsidR="004E56AD" w:rsidRPr="005E6614">
        <w:rPr>
          <w:smallCaps/>
          <w:szCs w:val="18"/>
        </w:rPr>
        <w:t>Lécuyer</w:t>
      </w:r>
      <w:proofErr w:type="spellEnd"/>
      <w:r w:rsidR="004E56AD" w:rsidRPr="005E6614">
        <w:rPr>
          <w:szCs w:val="18"/>
          <w:lang w:val="fr-FR"/>
        </w:rPr>
        <w:t xml:space="preserve">, D, juin 2011, n°21, p. 1441.  </w:t>
      </w:r>
    </w:p>
  </w:footnote>
  <w:footnote w:id="20">
    <w:p w14:paraId="1876B3AA" w14:textId="45E402F3" w:rsidR="008C6603" w:rsidRPr="005E6614" w:rsidRDefault="008C6603" w:rsidP="008C6603">
      <w:pPr>
        <w:pStyle w:val="Notedebasdepage"/>
        <w:rPr>
          <w:rStyle w:val="NotedebasdepageCar"/>
          <w:rFonts w:eastAsia="@Arial Unicode MS" w:cs="Arial"/>
          <w:szCs w:val="18"/>
          <w:lang w:val="fr-FR"/>
        </w:rPr>
      </w:pPr>
      <w:r w:rsidRPr="005E6614">
        <w:rPr>
          <w:rStyle w:val="Marquenotebasdepage"/>
          <w:rFonts w:cs="Arial"/>
          <w:szCs w:val="18"/>
        </w:rPr>
        <w:footnoteRef/>
      </w:r>
      <w:r w:rsidRPr="005E6614">
        <w:rPr>
          <w:rStyle w:val="Marquenotebasdepage"/>
          <w:rFonts w:cs="Arial"/>
          <w:szCs w:val="18"/>
          <w:lang w:val="fr-FR"/>
        </w:rPr>
        <w:t xml:space="preserve"> </w:t>
      </w:r>
      <w:proofErr w:type="spellStart"/>
      <w:r w:rsidRPr="005E6614">
        <w:rPr>
          <w:rStyle w:val="NotedebasdepageCar"/>
          <w:rFonts w:eastAsia="@Arial Unicode MS" w:cs="Arial"/>
          <w:szCs w:val="18"/>
          <w:lang w:val="fr-FR"/>
        </w:rPr>
        <w:t>Civ</w:t>
      </w:r>
      <w:proofErr w:type="spellEnd"/>
      <w:r w:rsidRPr="005E6614">
        <w:rPr>
          <w:rStyle w:val="NotedebasdepageCar"/>
          <w:rFonts w:eastAsia="@Arial Unicode MS" w:cs="Arial"/>
          <w:szCs w:val="18"/>
          <w:lang w:val="fr-FR"/>
        </w:rPr>
        <w:t xml:space="preserve"> 1ère, 20 mars 1985, n° 82-15</w:t>
      </w:r>
      <w:r w:rsidR="004E56AD" w:rsidRPr="005E6614">
        <w:rPr>
          <w:rStyle w:val="NotedebasdepageCar"/>
          <w:rFonts w:eastAsia="@Arial Unicode MS" w:cs="Arial"/>
          <w:szCs w:val="18"/>
          <w:lang w:val="fr-FR"/>
        </w:rPr>
        <w:t>.</w:t>
      </w:r>
      <w:r w:rsidRPr="005E6614">
        <w:rPr>
          <w:rStyle w:val="NotedebasdepageCar"/>
          <w:rFonts w:eastAsia="@Arial Unicode MS" w:cs="Arial"/>
          <w:szCs w:val="18"/>
          <w:lang w:val="fr-FR"/>
        </w:rPr>
        <w:t xml:space="preserve">033, Revue critique DIP 1986, 65, note </w:t>
      </w:r>
      <w:r w:rsidR="005E6614" w:rsidRPr="005E6614">
        <w:rPr>
          <w:rStyle w:val="NotedebasdepageCar"/>
          <w:rFonts w:eastAsia="@Arial Unicode MS" w:cs="Arial"/>
          <w:szCs w:val="18"/>
          <w:lang w:val="fr-FR"/>
        </w:rPr>
        <w:t>Y. </w:t>
      </w:r>
      <w:proofErr w:type="spellStart"/>
      <w:r w:rsidRPr="005E6614">
        <w:rPr>
          <w:smallCaps/>
          <w:szCs w:val="18"/>
          <w:lang w:val="fr-FR"/>
        </w:rPr>
        <w:t>Lequette</w:t>
      </w:r>
      <w:proofErr w:type="spellEnd"/>
      <w:r w:rsidRPr="005E6614">
        <w:rPr>
          <w:rStyle w:val="NotedebasdepageCar"/>
          <w:rFonts w:eastAsia="@Arial Unicode MS" w:cs="Arial"/>
          <w:szCs w:val="18"/>
          <w:lang w:val="fr-FR"/>
        </w:rPr>
        <w:t>, p.</w:t>
      </w:r>
      <w:r w:rsidR="005E6614" w:rsidRPr="005E6614">
        <w:rPr>
          <w:rStyle w:val="NotedebasdepageCar"/>
          <w:rFonts w:eastAsia="@Arial Unicode MS" w:cs="Arial"/>
          <w:szCs w:val="18"/>
          <w:lang w:val="fr-FR"/>
        </w:rPr>
        <w:t xml:space="preserve"> </w:t>
      </w:r>
      <w:r w:rsidRPr="005E6614">
        <w:rPr>
          <w:rStyle w:val="NotedebasdepageCar"/>
          <w:rFonts w:eastAsia="@Arial Unicode MS" w:cs="Arial"/>
          <w:szCs w:val="18"/>
          <w:lang w:val="fr-FR"/>
        </w:rPr>
        <w:t>69.</w:t>
      </w:r>
    </w:p>
  </w:footnote>
  <w:footnote w:id="21">
    <w:p w14:paraId="1CD75069" w14:textId="77777777" w:rsidR="008C6603" w:rsidRPr="005E6614" w:rsidRDefault="008C6603" w:rsidP="008C6603">
      <w:pPr>
        <w:pStyle w:val="Notedebasdepage"/>
        <w:rPr>
          <w:rFonts w:cs="Arial"/>
          <w:szCs w:val="18"/>
          <w:lang w:val="fr-FR"/>
        </w:rPr>
      </w:pPr>
      <w:r w:rsidRPr="005E6614">
        <w:rPr>
          <w:rStyle w:val="Marquenotebasdepage"/>
          <w:rFonts w:cs="Arial"/>
          <w:szCs w:val="18"/>
        </w:rPr>
        <w:footnoteRef/>
      </w:r>
      <w:r w:rsidRPr="005E6614">
        <w:rPr>
          <w:rStyle w:val="Marquenotebasdepage"/>
          <w:rFonts w:cs="Arial"/>
          <w:szCs w:val="18"/>
          <w:lang w:val="fr-FR"/>
        </w:rPr>
        <w:t xml:space="preserve"> </w:t>
      </w:r>
      <w:r w:rsidRPr="005E6614">
        <w:rPr>
          <w:rFonts w:cs="Arial"/>
          <w:szCs w:val="18"/>
          <w:lang w:val="fr-FR"/>
        </w:rPr>
        <w:t>Tribunal de Commerce de Paris 23 Juin 2015 n° 2015-025554.</w:t>
      </w:r>
    </w:p>
  </w:footnote>
  <w:footnote w:id="22">
    <w:p w14:paraId="777BAA3C" w14:textId="695A01E1" w:rsidR="00362A3C" w:rsidRPr="005E6614" w:rsidRDefault="00362A3C">
      <w:pPr>
        <w:pStyle w:val="Notedebasdepage"/>
        <w:rPr>
          <w:szCs w:val="18"/>
          <w:lang w:val="fr-FR"/>
        </w:rPr>
      </w:pPr>
      <w:r w:rsidRPr="005E6614">
        <w:rPr>
          <w:rStyle w:val="Marquenotebasdepage"/>
          <w:szCs w:val="18"/>
        </w:rPr>
        <w:footnoteRef/>
      </w:r>
      <w:r w:rsidRPr="005E6614">
        <w:rPr>
          <w:szCs w:val="18"/>
          <w:lang w:val="fr-FR"/>
        </w:rPr>
        <w:t xml:space="preserve"> </w:t>
      </w:r>
      <w:r w:rsidRPr="005E6614">
        <w:rPr>
          <w:smallCaps/>
          <w:szCs w:val="18"/>
          <w:lang w:val="fr-FR"/>
        </w:rPr>
        <w:t>M. Bali</w:t>
      </w:r>
      <w:r w:rsidRPr="005E6614">
        <w:rPr>
          <w:szCs w:val="18"/>
          <w:lang w:val="fr-FR"/>
        </w:rPr>
        <w:t xml:space="preserve">, </w:t>
      </w:r>
      <w:r w:rsidRPr="005E6614">
        <w:rPr>
          <w:i/>
          <w:iCs/>
          <w:szCs w:val="18"/>
          <w:lang w:val="fr-FR"/>
        </w:rPr>
        <w:t>La subordination financière</w:t>
      </w:r>
      <w:r w:rsidRPr="005E6614">
        <w:rPr>
          <w:szCs w:val="18"/>
          <w:lang w:val="fr-FR"/>
        </w:rPr>
        <w:t>, Thèse de l’</w:t>
      </w:r>
      <w:proofErr w:type="spellStart"/>
      <w:r w:rsidRPr="005E6614">
        <w:rPr>
          <w:szCs w:val="18"/>
          <w:lang w:val="fr-FR"/>
        </w:rPr>
        <w:t>Univ</w:t>
      </w:r>
      <w:proofErr w:type="spellEnd"/>
      <w:r w:rsidRPr="005E6614">
        <w:rPr>
          <w:szCs w:val="18"/>
          <w:lang w:val="fr-FR"/>
        </w:rPr>
        <w:t xml:space="preserve">. Dauphine, 2012; </w:t>
      </w:r>
      <w:r w:rsidRPr="005E6614">
        <w:rPr>
          <w:smallCaps/>
          <w:szCs w:val="18"/>
          <w:lang w:val="fr-FR"/>
        </w:rPr>
        <w:t>A. Multrier-Trebulle</w:t>
      </w:r>
      <w:r w:rsidRPr="005E6614">
        <w:rPr>
          <w:szCs w:val="18"/>
          <w:lang w:val="fr-FR"/>
        </w:rPr>
        <w:t xml:space="preserve">, </w:t>
      </w:r>
      <w:r w:rsidRPr="005E6614">
        <w:rPr>
          <w:i/>
          <w:iCs/>
          <w:szCs w:val="18"/>
          <w:lang w:val="fr-FR"/>
        </w:rPr>
        <w:t>La notion de subordination de créance</w:t>
      </w:r>
      <w:r w:rsidRPr="005E6614">
        <w:rPr>
          <w:szCs w:val="18"/>
          <w:lang w:val="fr-FR"/>
        </w:rPr>
        <w:t>, Thèse de l’</w:t>
      </w:r>
      <w:proofErr w:type="spellStart"/>
      <w:r w:rsidRPr="005E6614">
        <w:rPr>
          <w:szCs w:val="18"/>
          <w:lang w:val="fr-FR"/>
        </w:rPr>
        <w:t>Univ</w:t>
      </w:r>
      <w:proofErr w:type="spellEnd"/>
      <w:r w:rsidRPr="005E6614">
        <w:rPr>
          <w:szCs w:val="18"/>
          <w:lang w:val="fr-FR"/>
        </w:rPr>
        <w:t xml:space="preserve">. </w:t>
      </w:r>
      <w:proofErr w:type="gramStart"/>
      <w:r w:rsidR="005E6614" w:rsidRPr="005E6614">
        <w:rPr>
          <w:szCs w:val="18"/>
        </w:rPr>
        <w:t>Paris 2, 2002.</w:t>
      </w:r>
      <w:proofErr w:type="gramEnd"/>
    </w:p>
  </w:footnote>
  <w:footnote w:id="23">
    <w:p w14:paraId="1E3C38C6" w14:textId="210AA0B6" w:rsidR="00362A3C" w:rsidRPr="005E6614" w:rsidRDefault="00362A3C">
      <w:pPr>
        <w:pStyle w:val="Notedebasdepage"/>
        <w:rPr>
          <w:szCs w:val="18"/>
          <w:lang w:val="fr-FR"/>
        </w:rPr>
      </w:pPr>
      <w:r w:rsidRPr="005E6614">
        <w:rPr>
          <w:rStyle w:val="Marquenotebasdepage"/>
          <w:szCs w:val="18"/>
        </w:rPr>
        <w:footnoteRef/>
      </w:r>
      <w:r w:rsidRPr="005E6614">
        <w:rPr>
          <w:szCs w:val="18"/>
          <w:lang w:val="fr-FR"/>
        </w:rPr>
        <w:t xml:space="preserve"> A. </w:t>
      </w:r>
      <w:r w:rsidRPr="005E6614">
        <w:rPr>
          <w:rFonts w:cs="Arial"/>
          <w:smallCaps/>
          <w:szCs w:val="18"/>
          <w:lang w:val="fr-FR"/>
        </w:rPr>
        <w:t>Couret</w:t>
      </w:r>
      <w:r w:rsidRPr="005E6614">
        <w:rPr>
          <w:szCs w:val="18"/>
          <w:lang w:val="fr-FR"/>
        </w:rPr>
        <w:t>, « Les financements mezzanine », JCP E, 1990, n°</w:t>
      </w:r>
      <w:r w:rsidR="005E6614" w:rsidRPr="005E6614">
        <w:rPr>
          <w:szCs w:val="18"/>
          <w:lang w:val="fr-FR"/>
        </w:rPr>
        <w:t xml:space="preserve"> 9, p. 144.</w:t>
      </w:r>
    </w:p>
  </w:footnote>
  <w:footnote w:id="24">
    <w:p w14:paraId="0B3482D9" w14:textId="0DF0C6AD" w:rsidR="008C6603" w:rsidRPr="005E6614" w:rsidRDefault="008C6603" w:rsidP="008C6603">
      <w:pPr>
        <w:pStyle w:val="Notedebasdepage"/>
        <w:rPr>
          <w:rFonts w:cs="Arial"/>
          <w:szCs w:val="18"/>
          <w:lang w:val="fr-FR"/>
        </w:rPr>
      </w:pPr>
      <w:r w:rsidRPr="005E6614">
        <w:rPr>
          <w:rStyle w:val="Marquenotebasdepage"/>
          <w:rFonts w:cs="Arial"/>
          <w:szCs w:val="18"/>
        </w:rPr>
        <w:footnoteRef/>
      </w:r>
      <w:r w:rsidRPr="005E6614">
        <w:rPr>
          <w:rStyle w:val="Marquenotebasdepage"/>
          <w:rFonts w:cs="Arial"/>
          <w:szCs w:val="18"/>
          <w:lang w:val="fr-FR"/>
        </w:rPr>
        <w:t xml:space="preserve"> </w:t>
      </w:r>
      <w:r w:rsidR="00834FA3" w:rsidRPr="005E6614">
        <w:rPr>
          <w:rFonts w:cs="Arial"/>
          <w:smallCaps/>
          <w:szCs w:val="18"/>
          <w:lang w:val="fr-FR"/>
        </w:rPr>
        <w:t>L. Faugérolas</w:t>
      </w:r>
      <w:r w:rsidR="00834FA3" w:rsidRPr="005E6614">
        <w:rPr>
          <w:rFonts w:cs="Arial"/>
          <w:szCs w:val="18"/>
          <w:lang w:val="fr-FR"/>
        </w:rPr>
        <w:t>, « La subordination des créances », Mélanges J. Derruppé, 1991, Joly, p. 227.</w:t>
      </w:r>
    </w:p>
  </w:footnote>
  <w:footnote w:id="25">
    <w:p w14:paraId="788C62DF" w14:textId="1307F785" w:rsidR="008C6603" w:rsidRPr="005E6614" w:rsidRDefault="008C6603" w:rsidP="008C6603">
      <w:pPr>
        <w:pStyle w:val="Notedebasdepage"/>
        <w:rPr>
          <w:rFonts w:cs="Arial"/>
          <w:szCs w:val="18"/>
          <w:lang w:val="fr-FR"/>
        </w:rPr>
      </w:pPr>
      <w:r w:rsidRPr="005E6614">
        <w:rPr>
          <w:rStyle w:val="Marquenotebasdepage"/>
          <w:rFonts w:cs="Arial"/>
          <w:szCs w:val="18"/>
        </w:rPr>
        <w:footnoteRef/>
      </w:r>
      <w:r w:rsidRPr="005E6614">
        <w:rPr>
          <w:rFonts w:cs="Arial"/>
          <w:szCs w:val="18"/>
          <w:lang w:val="fr-FR"/>
        </w:rPr>
        <w:t xml:space="preserve"> C.</w:t>
      </w:r>
      <w:r w:rsidRPr="005E6614">
        <w:rPr>
          <w:rFonts w:cs="Arial"/>
          <w:smallCaps/>
          <w:szCs w:val="18"/>
          <w:lang w:val="fr-FR"/>
        </w:rPr>
        <w:t xml:space="preserve"> Théron</w:t>
      </w:r>
      <w:r w:rsidRPr="005E6614">
        <w:rPr>
          <w:rFonts w:cs="Arial"/>
          <w:szCs w:val="18"/>
          <w:lang w:val="fr-FR"/>
        </w:rPr>
        <w:t xml:space="preserve">, « la loi de sauvegarde à l'épreuve des hedge funds et de leur ingénierie financière », Déc. </w:t>
      </w:r>
      <w:proofErr w:type="spellStart"/>
      <w:r w:rsidRPr="005E6614">
        <w:rPr>
          <w:rFonts w:cs="Arial"/>
          <w:szCs w:val="18"/>
          <w:lang w:val="fr-FR"/>
        </w:rPr>
        <w:t>Strat</w:t>
      </w:r>
      <w:proofErr w:type="spellEnd"/>
      <w:r w:rsidRPr="005E6614">
        <w:rPr>
          <w:rFonts w:cs="Arial"/>
          <w:szCs w:val="18"/>
          <w:lang w:val="fr-FR"/>
        </w:rPr>
        <w:t>. Fin. Dr.</w:t>
      </w:r>
      <w:r w:rsidR="00834FA3" w:rsidRPr="005E6614">
        <w:rPr>
          <w:rFonts w:cs="Arial"/>
          <w:szCs w:val="18"/>
          <w:lang w:val="fr-FR"/>
        </w:rPr>
        <w:t>,</w:t>
      </w:r>
      <w:r w:rsidRPr="005E6614">
        <w:rPr>
          <w:rFonts w:cs="Arial"/>
          <w:szCs w:val="18"/>
          <w:lang w:val="fr-FR"/>
        </w:rPr>
        <w:t xml:space="preserve"> 2008, n°</w:t>
      </w:r>
      <w:r w:rsidR="005E6614" w:rsidRPr="005E6614">
        <w:rPr>
          <w:rFonts w:cs="Arial"/>
          <w:szCs w:val="18"/>
          <w:lang w:val="fr-FR"/>
        </w:rPr>
        <w:t xml:space="preserve"> </w:t>
      </w:r>
      <w:r w:rsidRPr="005E6614">
        <w:rPr>
          <w:rFonts w:cs="Arial"/>
          <w:szCs w:val="18"/>
          <w:lang w:val="fr-FR"/>
        </w:rPr>
        <w:t>99, p.</w:t>
      </w:r>
      <w:r w:rsidR="005E6614" w:rsidRPr="005E6614">
        <w:rPr>
          <w:rFonts w:cs="Arial"/>
          <w:szCs w:val="18"/>
          <w:lang w:val="fr-FR"/>
        </w:rPr>
        <w:t xml:space="preserve"> </w:t>
      </w:r>
      <w:r w:rsidRPr="005E6614">
        <w:rPr>
          <w:rFonts w:cs="Arial"/>
          <w:szCs w:val="18"/>
          <w:lang w:val="fr-FR"/>
        </w:rPr>
        <w:t xml:space="preserve">53. </w:t>
      </w:r>
    </w:p>
  </w:footnote>
  <w:footnote w:id="26">
    <w:p w14:paraId="3CB9ED03" w14:textId="6BDAAEA5" w:rsidR="008C6603" w:rsidRPr="005E6614" w:rsidRDefault="008C6603" w:rsidP="008C6603">
      <w:pPr>
        <w:pStyle w:val="Notedebasdepage"/>
        <w:rPr>
          <w:rFonts w:cs="Arial"/>
          <w:szCs w:val="18"/>
          <w:lang w:val="fr-FR"/>
        </w:rPr>
      </w:pPr>
      <w:r w:rsidRPr="005E6614">
        <w:rPr>
          <w:rStyle w:val="Marquenotebasdepage"/>
          <w:rFonts w:cs="Arial"/>
          <w:szCs w:val="18"/>
        </w:rPr>
        <w:footnoteRef/>
      </w:r>
      <w:r w:rsidRPr="005E6614">
        <w:rPr>
          <w:rFonts w:cs="Arial"/>
          <w:szCs w:val="18"/>
          <w:lang w:val="fr-FR"/>
        </w:rPr>
        <w:t xml:space="preserve"> G. </w:t>
      </w:r>
      <w:r w:rsidRPr="005E6614">
        <w:rPr>
          <w:rFonts w:cs="Arial"/>
          <w:smallCaps/>
          <w:szCs w:val="18"/>
          <w:lang w:val="fr-FR"/>
        </w:rPr>
        <w:t>Ansaloni</w:t>
      </w:r>
      <w:r w:rsidRPr="005E6614">
        <w:rPr>
          <w:rFonts w:cs="Arial"/>
          <w:szCs w:val="18"/>
          <w:lang w:val="fr-FR"/>
        </w:rPr>
        <w:t xml:space="preserve"> « retour sur la subordination des créances »</w:t>
      </w:r>
      <w:r w:rsidR="00834FA3" w:rsidRPr="005E6614">
        <w:rPr>
          <w:rFonts w:cs="Arial"/>
          <w:szCs w:val="18"/>
          <w:lang w:val="fr-FR"/>
        </w:rPr>
        <w:t>,</w:t>
      </w:r>
      <w:r w:rsidRPr="005E6614">
        <w:rPr>
          <w:rFonts w:cs="Arial"/>
          <w:szCs w:val="18"/>
          <w:lang w:val="fr-FR"/>
        </w:rPr>
        <w:t xml:space="preserve"> Banque et Droit</w:t>
      </w:r>
      <w:r w:rsidR="00834FA3" w:rsidRPr="005E6614">
        <w:rPr>
          <w:rFonts w:cs="Arial"/>
          <w:szCs w:val="18"/>
          <w:lang w:val="fr-FR"/>
        </w:rPr>
        <w:t>, 2012,</w:t>
      </w:r>
      <w:r w:rsidRPr="005E6614">
        <w:rPr>
          <w:rFonts w:cs="Arial"/>
          <w:szCs w:val="18"/>
          <w:lang w:val="fr-FR"/>
        </w:rPr>
        <w:t xml:space="preserve"> n°</w:t>
      </w:r>
      <w:r w:rsidR="005E6614" w:rsidRPr="005E6614">
        <w:rPr>
          <w:rFonts w:cs="Arial"/>
          <w:szCs w:val="18"/>
          <w:lang w:val="fr-FR"/>
        </w:rPr>
        <w:t> </w:t>
      </w:r>
      <w:r w:rsidRPr="005E6614">
        <w:rPr>
          <w:rFonts w:cs="Arial"/>
          <w:szCs w:val="18"/>
          <w:lang w:val="fr-FR"/>
        </w:rPr>
        <w:t>141</w:t>
      </w:r>
      <w:r w:rsidR="00834FA3" w:rsidRPr="005E6614">
        <w:rPr>
          <w:rFonts w:cs="Arial"/>
          <w:szCs w:val="18"/>
          <w:lang w:val="fr-FR"/>
        </w:rPr>
        <w:t>,</w:t>
      </w:r>
      <w:r w:rsidRPr="005E6614">
        <w:rPr>
          <w:rFonts w:cs="Arial"/>
          <w:szCs w:val="18"/>
          <w:lang w:val="fr-FR"/>
        </w:rPr>
        <w:t xml:space="preserve"> p. 25.</w:t>
      </w:r>
    </w:p>
  </w:footnote>
  <w:footnote w:id="27">
    <w:p w14:paraId="43C66A6D" w14:textId="77777777" w:rsidR="008C6603" w:rsidRPr="005E6614" w:rsidRDefault="008C6603" w:rsidP="008C6603">
      <w:pPr>
        <w:pStyle w:val="Notedebasdepage"/>
        <w:rPr>
          <w:rFonts w:cs="Arial"/>
          <w:szCs w:val="18"/>
          <w:lang w:val="fr-FR"/>
        </w:rPr>
      </w:pPr>
      <w:r w:rsidRPr="005E6614">
        <w:rPr>
          <w:rStyle w:val="Marquenotebasdepage"/>
          <w:rFonts w:cs="Arial"/>
          <w:szCs w:val="18"/>
        </w:rPr>
        <w:footnoteRef/>
      </w:r>
      <w:r w:rsidRPr="005E6614">
        <w:rPr>
          <w:rFonts w:cs="Arial"/>
          <w:szCs w:val="18"/>
          <w:lang w:val="fr-FR"/>
        </w:rPr>
        <w:t xml:space="preserve"> CA de Paris, 12 Février 1985, n° 1985-020516.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1EAA" w14:textId="69510BD1" w:rsidR="00DA11F7" w:rsidRPr="00FC13C1" w:rsidRDefault="008C6603" w:rsidP="00B21B9A">
    <w:pPr>
      <w:pStyle w:val="En-tte"/>
      <w:pBdr>
        <w:bottom w:val="single" w:sz="4" w:space="1" w:color="auto"/>
      </w:pBdr>
      <w:jc w:val="center"/>
      <w:rPr>
        <w:sz w:val="16"/>
        <w:szCs w:val="16"/>
        <w:lang w:val="fr-FR"/>
      </w:rPr>
    </w:pPr>
    <w:r w:rsidRPr="00FC13C1">
      <w:rPr>
        <w:sz w:val="16"/>
        <w:szCs w:val="16"/>
        <w:lang w:val="fr-FR"/>
      </w:rPr>
      <w:t>La restructuration des entreprises en difficultés en droit français</w:t>
    </w:r>
    <w:r w:rsidR="00DE079C" w:rsidRPr="00FC13C1">
      <w:rPr>
        <w:sz w:val="16"/>
        <w:szCs w:val="16"/>
        <w:lang w:val="fr-FR"/>
      </w:rPr>
      <w:t xml:space="preserve"> </w:t>
    </w:r>
    <w:r w:rsidR="00864CCD" w:rsidRPr="00FC13C1">
      <w:rPr>
        <w:sz w:val="16"/>
        <w:szCs w:val="16"/>
      </w:rPr>
      <w:fldChar w:fldCharType="begin"/>
    </w:r>
    <w:r w:rsidR="00864CCD" w:rsidRPr="00FC13C1">
      <w:rPr>
        <w:sz w:val="16"/>
        <w:szCs w:val="16"/>
        <w:lang w:val="fr-FR"/>
      </w:rPr>
      <w:instrText xml:space="preserve"> TITLE  \* MERGEFORMAT </w:instrText>
    </w:r>
    <w:r w:rsidR="00864CCD" w:rsidRPr="00FC13C1">
      <w:rPr>
        <w:sz w:val="16"/>
        <w:szCs w:val="16"/>
      </w:rPr>
      <w:fldChar w:fldCharType="end"/>
    </w:r>
    <w:r w:rsidR="00E478CB" w:rsidRPr="00FC13C1">
      <w:rPr>
        <w:b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FC13C1">
      <w:rPr>
        <w:sz w:val="16"/>
        <w:szCs w:val="16"/>
      </w:rPr>
      <w:fldChar w:fldCharType="begin"/>
    </w:r>
    <w:r w:rsidR="000D290B" w:rsidRPr="00FC13C1">
      <w:rPr>
        <w:sz w:val="16"/>
        <w:szCs w:val="16"/>
        <w:lang w:val="fr-FR"/>
      </w:rPr>
      <w:instrText xml:space="preserve"> TITLE  \* MERGEFORMAT </w:instrText>
    </w:r>
    <w:r w:rsidR="000D290B" w:rsidRPr="00FC13C1">
      <w:rPr>
        <w:sz w:val="16"/>
        <w:szCs w:val="16"/>
      </w:rPr>
      <w:fldChar w:fldCharType="end"/>
    </w:r>
    <w:r w:rsidR="008508B6" w:rsidRPr="00FC13C1">
      <w:rPr>
        <w:sz w:val="16"/>
        <w:szCs w:val="16"/>
        <w:lang w:val="fr-FR"/>
      </w:rPr>
      <w:t>–</w:t>
    </w:r>
    <w:r w:rsidR="000D290B" w:rsidRPr="00FC13C1">
      <w:rPr>
        <w:sz w:val="16"/>
        <w:szCs w:val="16"/>
        <w:lang w:val="fr-FR"/>
      </w:rPr>
      <w:t xml:space="preserve"> </w:t>
    </w:r>
    <w:r w:rsidRPr="00FC13C1">
      <w:rPr>
        <w:sz w:val="16"/>
        <w:szCs w:val="16"/>
        <w:lang w:val="fr-FR"/>
      </w:rPr>
      <w:t>Archibald Gabriel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C03CD1"/>
    <w:multiLevelType w:val="hybridMultilevel"/>
    <w:tmpl w:val="1CB0E4A4"/>
    <w:lvl w:ilvl="0" w:tplc="EFA66C2C">
      <w:start w:val="1"/>
      <w:numFmt w:val="bullet"/>
      <w:lvlText w:val="–"/>
      <w:lvlJc w:val="left"/>
      <w:pPr>
        <w:ind w:left="360" w:hanging="360"/>
      </w:pPr>
      <w:rPr>
        <w:rFonts w:ascii="Arial Unicode MS" w:hAnsi="Arial Unicode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082740B"/>
    <w:multiLevelType w:val="hybridMultilevel"/>
    <w:tmpl w:val="5028831E"/>
    <w:lvl w:ilvl="0" w:tplc="BE568CA4">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7D2873"/>
    <w:multiLevelType w:val="multilevel"/>
    <w:tmpl w:val="F500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94E6B89"/>
    <w:multiLevelType w:val="hybridMultilevel"/>
    <w:tmpl w:val="8E4449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pStyle w:val="TexteCourant"/>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0C3A14"/>
    <w:multiLevelType w:val="hybridMultilevel"/>
    <w:tmpl w:val="3AF8BD20"/>
    <w:lvl w:ilvl="0" w:tplc="6B700B2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2A2646D"/>
    <w:multiLevelType w:val="hybridMultilevel"/>
    <w:tmpl w:val="D48A5B3A"/>
    <w:lvl w:ilvl="0" w:tplc="BE568CA4">
      <w:start w:val="1"/>
      <w:numFmt w:val="bullet"/>
      <w:lvlText w:val="—"/>
      <w:lvlJc w:val="left"/>
      <w:pPr>
        <w:ind w:left="720" w:hanging="360"/>
      </w:pPr>
      <w:rPr>
        <w:rFonts w:ascii="Arial Unicode MS" w:eastAsia="Arial Unicode MS" w:hAnsi="Arial Unicode MS" w:hint="eastAsia"/>
        <w:sz w:val="24"/>
      </w:rPr>
    </w:lvl>
    <w:lvl w:ilvl="1" w:tplc="040C0003">
      <w:start w:val="1"/>
      <w:numFmt w:val="bullet"/>
      <w:lvlText w:val="o"/>
      <w:lvlJc w:val="left"/>
      <w:pPr>
        <w:tabs>
          <w:tab w:val="num" w:pos="1080"/>
        </w:tabs>
        <w:ind w:left="1080" w:hanging="360"/>
      </w:pPr>
      <w:rPr>
        <w:rFonts w:ascii="Courier New" w:hAnsi="Courier New" w:cs="Courier New" w:hint="default"/>
        <w:b w:val="0"/>
        <w:i/>
        <w:caps w:val="0"/>
        <w:smallCaps w:val="0"/>
        <w:strike w:val="0"/>
        <w:dstrike w:val="0"/>
        <w:snapToGrid w:val="0"/>
      </w:rPr>
    </w:lvl>
    <w:lvl w:ilvl="2" w:tplc="040C0005">
      <w:start w:val="1"/>
      <w:numFmt w:val="bullet"/>
      <w:lvlText w:val=""/>
      <w:lvlJc w:val="left"/>
      <w:pPr>
        <w:tabs>
          <w:tab w:val="num" w:pos="1800"/>
        </w:tabs>
        <w:ind w:left="1800" w:hanging="360"/>
      </w:pPr>
      <w:rPr>
        <w:rFonts w:ascii="Wingdings" w:hAnsi="Wingdings" w:cs="Times New Roman" w:hint="default"/>
        <w:b w:val="0"/>
        <w:i/>
        <w:caps w:val="0"/>
        <w:smallCaps w:val="0"/>
        <w:strike w:val="0"/>
        <w:dstrike w:val="0"/>
        <w:snapToGrid w:val="0"/>
      </w:rPr>
    </w:lvl>
    <w:lvl w:ilvl="3" w:tplc="040C0001">
      <w:start w:val="1"/>
      <w:numFmt w:val="bullet"/>
      <w:lvlText w:val=""/>
      <w:lvlJc w:val="left"/>
      <w:pPr>
        <w:tabs>
          <w:tab w:val="num" w:pos="2520"/>
        </w:tabs>
        <w:ind w:left="2520" w:hanging="360"/>
      </w:pPr>
      <w:rPr>
        <w:rFonts w:ascii="Symbol" w:hAnsi="Symbol" w:cs="Times New Roman" w:hint="default"/>
        <w:b/>
        <w:i/>
        <w:caps w:val="0"/>
        <w:smallCaps w:val="0"/>
        <w:strike w:val="0"/>
        <w:dstrike w:val="0"/>
        <w:snapToGrid w:val="0"/>
      </w:rPr>
    </w:lvl>
    <w:lvl w:ilvl="4" w:tplc="040C0003">
      <w:start w:val="1"/>
      <w:numFmt w:val="bullet"/>
      <w:lvlText w:val="o"/>
      <w:lvlJc w:val="left"/>
      <w:pPr>
        <w:tabs>
          <w:tab w:val="num" w:pos="3240"/>
        </w:tabs>
        <w:ind w:left="3240" w:hanging="360"/>
      </w:pPr>
      <w:rPr>
        <w:rFonts w:ascii="Courier New" w:hAnsi="Courier New" w:cs="Courier New" w:hint="default"/>
        <w:b w:val="0"/>
        <w:i/>
        <w:caps w:val="0"/>
        <w:smallCaps w:val="0"/>
        <w:strike w:val="0"/>
        <w:dstrike w:val="0"/>
        <w:snapToGrid w:val="0"/>
      </w:rPr>
    </w:lvl>
    <w:lvl w:ilvl="5" w:tplc="040C0005">
      <w:start w:val="1"/>
      <w:numFmt w:val="bullet"/>
      <w:lvlText w:val=""/>
      <w:lvlJc w:val="left"/>
      <w:pPr>
        <w:tabs>
          <w:tab w:val="num" w:pos="3960"/>
        </w:tabs>
        <w:ind w:left="3960" w:hanging="360"/>
      </w:pPr>
      <w:rPr>
        <w:rFonts w:ascii="Wingdings" w:hAnsi="Wingdings" w:cs="Times New Roman" w:hint="default"/>
        <w:b w:val="0"/>
        <w:i/>
        <w:caps w:val="0"/>
        <w:smallCaps w:val="0"/>
        <w:strike w:val="0"/>
        <w:dstrike w:val="0"/>
        <w:snapToGrid w:val="0"/>
      </w:rPr>
    </w:lvl>
    <w:lvl w:ilvl="6" w:tplc="040C0001">
      <w:start w:val="1"/>
      <w:numFmt w:val="bullet"/>
      <w:lvlText w:val=""/>
      <w:lvlJc w:val="left"/>
      <w:pPr>
        <w:tabs>
          <w:tab w:val="num" w:pos="4680"/>
        </w:tabs>
        <w:ind w:left="4680" w:hanging="360"/>
      </w:pPr>
      <w:rPr>
        <w:rFonts w:ascii="Symbol" w:hAnsi="Symbol" w:cs="Times New Roman" w:hint="default"/>
        <w:b/>
        <w:i/>
        <w:caps w:val="0"/>
        <w:smallCaps w:val="0"/>
        <w:strike w:val="0"/>
        <w:dstrike w:val="0"/>
        <w:snapToGrid w:val="0"/>
      </w:rPr>
    </w:lvl>
    <w:lvl w:ilvl="7" w:tplc="040C0003">
      <w:start w:val="1"/>
      <w:numFmt w:val="bullet"/>
      <w:lvlText w:val="o"/>
      <w:lvlJc w:val="left"/>
      <w:pPr>
        <w:tabs>
          <w:tab w:val="num" w:pos="5400"/>
        </w:tabs>
        <w:ind w:left="5400" w:hanging="360"/>
      </w:pPr>
      <w:rPr>
        <w:rFonts w:ascii="Courier New" w:hAnsi="Courier New" w:cs="Courier New" w:hint="default"/>
        <w:b w:val="0"/>
        <w:i/>
        <w:caps w:val="0"/>
        <w:smallCaps w:val="0"/>
        <w:strike w:val="0"/>
        <w:dstrike w:val="0"/>
        <w:snapToGrid w:val="0"/>
      </w:rPr>
    </w:lvl>
    <w:lvl w:ilvl="8" w:tplc="040C0005">
      <w:start w:val="1"/>
      <w:numFmt w:val="bullet"/>
      <w:lvlText w:val=""/>
      <w:lvlJc w:val="left"/>
      <w:pPr>
        <w:tabs>
          <w:tab w:val="num" w:pos="6120"/>
        </w:tabs>
        <w:ind w:left="6120" w:hanging="360"/>
      </w:pPr>
      <w:rPr>
        <w:rFonts w:ascii="Wingdings" w:hAnsi="Wingdings" w:cs="Times New Roman" w:hint="default"/>
        <w:b w:val="0"/>
        <w:i/>
        <w:caps w:val="0"/>
        <w:smallCaps w:val="0"/>
        <w:strike w:val="0"/>
        <w:dstrike w:val="0"/>
        <w:snapToGrid w:val="0"/>
      </w:rPr>
    </w:lvl>
  </w:abstractNum>
  <w:abstractNum w:abstractNumId="18">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nsid w:val="600A35F8"/>
    <w:multiLevelType w:val="hybridMultilevel"/>
    <w:tmpl w:val="55587104"/>
    <w:lvl w:ilvl="0" w:tplc="BE568CA4">
      <w:start w:val="1"/>
      <w:numFmt w:val="bullet"/>
      <w:lvlText w:val="—"/>
      <w:lvlJc w:val="left"/>
      <w:pPr>
        <w:ind w:left="720" w:hanging="360"/>
      </w:pPr>
      <w:rPr>
        <w:rFonts w:ascii="Arial Unicode MS" w:eastAsia="Arial Unicode MS" w:hAnsi="Arial Unicode MS" w:hint="eastAsia"/>
        <w:b/>
      </w:rPr>
    </w:lvl>
    <w:lvl w:ilvl="1" w:tplc="BE568CA4">
      <w:start w:val="1"/>
      <w:numFmt w:val="bullet"/>
      <w:lvlText w:val="—"/>
      <w:lvlJc w:val="left"/>
      <w:pPr>
        <w:ind w:left="1080" w:hanging="360"/>
      </w:pPr>
      <w:rPr>
        <w:rFonts w:ascii="Arial Unicode MS" w:eastAsia="Arial Unicode MS" w:hAnsi="Arial Unicode MS" w:hint="eastAsia"/>
      </w:rPr>
    </w:lvl>
    <w:lvl w:ilvl="2" w:tplc="EFA66C2C">
      <w:start w:val="1"/>
      <w:numFmt w:val="bullet"/>
      <w:lvlText w:val="–"/>
      <w:lvlJc w:val="left"/>
      <w:pPr>
        <w:tabs>
          <w:tab w:val="num" w:pos="1800"/>
        </w:tabs>
        <w:ind w:left="1800" w:hanging="360"/>
      </w:pPr>
      <w:rPr>
        <w:rFonts w:ascii="Arial Unicode MS" w:hAnsi="Arial Unicode MS" w:hint="default"/>
      </w:rPr>
    </w:lvl>
    <w:lvl w:ilvl="3" w:tplc="35EAE1AC">
      <w:start w:val="1"/>
      <w:numFmt w:val="bullet"/>
      <w:lvlText w:val="–"/>
      <w:lvlJc w:val="left"/>
      <w:pPr>
        <w:tabs>
          <w:tab w:val="num" w:pos="2520"/>
        </w:tabs>
        <w:ind w:left="2520" w:hanging="360"/>
      </w:pPr>
      <w:rPr>
        <w:rFonts w:ascii="Arial Unicode MS" w:hAnsi="Arial Unicode MS" w:hint="default"/>
      </w:rPr>
    </w:lvl>
    <w:lvl w:ilvl="4" w:tplc="2DC2CCDA" w:tentative="1">
      <w:start w:val="1"/>
      <w:numFmt w:val="bullet"/>
      <w:lvlText w:val="–"/>
      <w:lvlJc w:val="left"/>
      <w:pPr>
        <w:tabs>
          <w:tab w:val="num" w:pos="3240"/>
        </w:tabs>
        <w:ind w:left="3240" w:hanging="360"/>
      </w:pPr>
      <w:rPr>
        <w:rFonts w:ascii="Arial Unicode MS" w:hAnsi="Arial Unicode MS" w:hint="default"/>
      </w:rPr>
    </w:lvl>
    <w:lvl w:ilvl="5" w:tplc="7738021A" w:tentative="1">
      <w:start w:val="1"/>
      <w:numFmt w:val="bullet"/>
      <w:lvlText w:val="–"/>
      <w:lvlJc w:val="left"/>
      <w:pPr>
        <w:tabs>
          <w:tab w:val="num" w:pos="3960"/>
        </w:tabs>
        <w:ind w:left="3960" w:hanging="360"/>
      </w:pPr>
      <w:rPr>
        <w:rFonts w:ascii="Arial Unicode MS" w:hAnsi="Arial Unicode MS" w:hint="default"/>
      </w:rPr>
    </w:lvl>
    <w:lvl w:ilvl="6" w:tplc="F06CDFAC" w:tentative="1">
      <w:start w:val="1"/>
      <w:numFmt w:val="bullet"/>
      <w:lvlText w:val="–"/>
      <w:lvlJc w:val="left"/>
      <w:pPr>
        <w:tabs>
          <w:tab w:val="num" w:pos="4680"/>
        </w:tabs>
        <w:ind w:left="4680" w:hanging="360"/>
      </w:pPr>
      <w:rPr>
        <w:rFonts w:ascii="Arial Unicode MS" w:hAnsi="Arial Unicode MS" w:hint="default"/>
      </w:rPr>
    </w:lvl>
    <w:lvl w:ilvl="7" w:tplc="43FED8BE" w:tentative="1">
      <w:start w:val="1"/>
      <w:numFmt w:val="bullet"/>
      <w:lvlText w:val="–"/>
      <w:lvlJc w:val="left"/>
      <w:pPr>
        <w:tabs>
          <w:tab w:val="num" w:pos="5400"/>
        </w:tabs>
        <w:ind w:left="5400" w:hanging="360"/>
      </w:pPr>
      <w:rPr>
        <w:rFonts w:ascii="Arial Unicode MS" w:hAnsi="Arial Unicode MS" w:hint="default"/>
      </w:rPr>
    </w:lvl>
    <w:lvl w:ilvl="8" w:tplc="84262364" w:tentative="1">
      <w:start w:val="1"/>
      <w:numFmt w:val="bullet"/>
      <w:lvlText w:val="–"/>
      <w:lvlJc w:val="left"/>
      <w:pPr>
        <w:tabs>
          <w:tab w:val="num" w:pos="6120"/>
        </w:tabs>
        <w:ind w:left="6120" w:hanging="360"/>
      </w:pPr>
      <w:rPr>
        <w:rFonts w:ascii="Arial Unicode MS" w:hAnsi="Arial Unicode MS" w:hint="default"/>
      </w:rPr>
    </w:lvl>
  </w:abstractNum>
  <w:abstractNum w:abstractNumId="21">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7A37BF7"/>
    <w:multiLevelType w:val="hybridMultilevel"/>
    <w:tmpl w:val="2A2C4FFE"/>
    <w:lvl w:ilvl="0" w:tplc="BE568CA4">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857419"/>
    <w:multiLevelType w:val="hybridMultilevel"/>
    <w:tmpl w:val="800828A0"/>
    <w:lvl w:ilvl="0" w:tplc="BE568CA4">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1"/>
  </w:num>
  <w:num w:numId="2">
    <w:abstractNumId w:val="22"/>
  </w:num>
  <w:num w:numId="3">
    <w:abstractNumId w:val="4"/>
  </w:num>
  <w:num w:numId="4">
    <w:abstractNumId w:val="3"/>
  </w:num>
  <w:num w:numId="5">
    <w:abstractNumId w:val="23"/>
  </w:num>
  <w:num w:numId="6">
    <w:abstractNumId w:val="1"/>
  </w:num>
  <w:num w:numId="7">
    <w:abstractNumId w:val="15"/>
  </w:num>
  <w:num w:numId="8">
    <w:abstractNumId w:val="14"/>
  </w:num>
  <w:num w:numId="9">
    <w:abstractNumId w:val="19"/>
  </w:num>
  <w:num w:numId="10">
    <w:abstractNumId w:val="13"/>
  </w:num>
  <w:num w:numId="11">
    <w:abstractNumId w:val="16"/>
  </w:num>
  <w:num w:numId="12">
    <w:abstractNumId w:val="21"/>
  </w:num>
  <w:num w:numId="13">
    <w:abstractNumId w:val="9"/>
  </w:num>
  <w:num w:numId="14">
    <w:abstractNumId w:val="26"/>
  </w:num>
  <w:num w:numId="15">
    <w:abstractNumId w:val="0"/>
  </w:num>
  <w:num w:numId="16">
    <w:abstractNumId w:val="2"/>
  </w:num>
  <w:num w:numId="17">
    <w:abstractNumId w:val="2"/>
    <w:lvlOverride w:ilvl="0">
      <w:startOverride w:val="1"/>
    </w:lvlOverride>
  </w:num>
  <w:num w:numId="18">
    <w:abstractNumId w:val="18"/>
  </w:num>
  <w:num w:numId="19">
    <w:abstractNumId w:val="26"/>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8"/>
  </w:num>
  <w:num w:numId="23">
    <w:abstractNumId w:val="8"/>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10"/>
  </w:num>
  <w:num w:numId="29">
    <w:abstractNumId w:val="7"/>
  </w:num>
  <w:num w:numId="30">
    <w:abstractNumId w:val="12"/>
  </w:num>
  <w:num w:numId="31">
    <w:abstractNumId w:val="26"/>
    <w:lvlOverride w:ilvl="0">
      <w:startOverride w:val="1"/>
    </w:lvlOverride>
  </w:num>
  <w:num w:numId="32">
    <w:abstractNumId w:val="26"/>
    <w:lvlOverride w:ilvl="0">
      <w:startOverride w:val="1"/>
    </w:lvlOverride>
  </w:num>
  <w:num w:numId="33">
    <w:abstractNumId w:val="20"/>
  </w:num>
  <w:num w:numId="34">
    <w:abstractNumId w:val="17"/>
  </w:num>
  <w:num w:numId="35">
    <w:abstractNumId w:val="26"/>
    <w:lvlOverride w:ilvl="0">
      <w:startOverride w:val="1"/>
    </w:lvlOverride>
  </w:num>
  <w:num w:numId="36">
    <w:abstractNumId w:val="5"/>
  </w:num>
  <w:num w:numId="37">
    <w:abstractNumId w:val="24"/>
  </w:num>
  <w:num w:numId="38">
    <w:abstractNumId w:val="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C"/>
    <w:rsid w:val="00002CE0"/>
    <w:rsid w:val="000066C6"/>
    <w:rsid w:val="000231A5"/>
    <w:rsid w:val="00054ECC"/>
    <w:rsid w:val="000607EB"/>
    <w:rsid w:val="00074244"/>
    <w:rsid w:val="00091F71"/>
    <w:rsid w:val="00097788"/>
    <w:rsid w:val="000A0233"/>
    <w:rsid w:val="000A1956"/>
    <w:rsid w:val="000A6CE9"/>
    <w:rsid w:val="000B167D"/>
    <w:rsid w:val="000C4857"/>
    <w:rsid w:val="000D290B"/>
    <w:rsid w:val="000F21D6"/>
    <w:rsid w:val="001033F7"/>
    <w:rsid w:val="00110DE8"/>
    <w:rsid w:val="0015333F"/>
    <w:rsid w:val="00156253"/>
    <w:rsid w:val="00157C51"/>
    <w:rsid w:val="001A3987"/>
    <w:rsid w:val="001E062E"/>
    <w:rsid w:val="0021126C"/>
    <w:rsid w:val="00213963"/>
    <w:rsid w:val="00253B40"/>
    <w:rsid w:val="00256E94"/>
    <w:rsid w:val="00266C40"/>
    <w:rsid w:val="002B03A8"/>
    <w:rsid w:val="002B608D"/>
    <w:rsid w:val="002B647C"/>
    <w:rsid w:val="002D2578"/>
    <w:rsid w:val="0030234D"/>
    <w:rsid w:val="00302545"/>
    <w:rsid w:val="00360D35"/>
    <w:rsid w:val="00362A3C"/>
    <w:rsid w:val="003833FB"/>
    <w:rsid w:val="00397D95"/>
    <w:rsid w:val="003D5187"/>
    <w:rsid w:val="003F01C5"/>
    <w:rsid w:val="003F146F"/>
    <w:rsid w:val="003F2171"/>
    <w:rsid w:val="003F4F49"/>
    <w:rsid w:val="003F5B3C"/>
    <w:rsid w:val="003F6F89"/>
    <w:rsid w:val="00420330"/>
    <w:rsid w:val="004267B3"/>
    <w:rsid w:val="00461AAD"/>
    <w:rsid w:val="00487C9F"/>
    <w:rsid w:val="004C4E04"/>
    <w:rsid w:val="004C5765"/>
    <w:rsid w:val="004E1656"/>
    <w:rsid w:val="004E56AD"/>
    <w:rsid w:val="00544CD8"/>
    <w:rsid w:val="00556988"/>
    <w:rsid w:val="00570C73"/>
    <w:rsid w:val="00586EB0"/>
    <w:rsid w:val="00592268"/>
    <w:rsid w:val="00597717"/>
    <w:rsid w:val="005A27A3"/>
    <w:rsid w:val="005A4D2E"/>
    <w:rsid w:val="005D088A"/>
    <w:rsid w:val="005D76E4"/>
    <w:rsid w:val="005E6614"/>
    <w:rsid w:val="005F2448"/>
    <w:rsid w:val="005F344A"/>
    <w:rsid w:val="005F43D1"/>
    <w:rsid w:val="00614422"/>
    <w:rsid w:val="006170D3"/>
    <w:rsid w:val="00636360"/>
    <w:rsid w:val="00644D9E"/>
    <w:rsid w:val="00647926"/>
    <w:rsid w:val="0065047A"/>
    <w:rsid w:val="00665F3F"/>
    <w:rsid w:val="0066689B"/>
    <w:rsid w:val="006840F1"/>
    <w:rsid w:val="006A3A13"/>
    <w:rsid w:val="006A5E8D"/>
    <w:rsid w:val="006B5A0D"/>
    <w:rsid w:val="006C668C"/>
    <w:rsid w:val="006E0ED1"/>
    <w:rsid w:val="006E4970"/>
    <w:rsid w:val="006E7351"/>
    <w:rsid w:val="0074214D"/>
    <w:rsid w:val="007749BE"/>
    <w:rsid w:val="007B7F2D"/>
    <w:rsid w:val="007D18D7"/>
    <w:rsid w:val="007E180A"/>
    <w:rsid w:val="007E4647"/>
    <w:rsid w:val="007F55D2"/>
    <w:rsid w:val="00805BFF"/>
    <w:rsid w:val="00833296"/>
    <w:rsid w:val="00834FA3"/>
    <w:rsid w:val="00836C02"/>
    <w:rsid w:val="008508B6"/>
    <w:rsid w:val="00851891"/>
    <w:rsid w:val="00852AF3"/>
    <w:rsid w:val="008531A6"/>
    <w:rsid w:val="00864CCD"/>
    <w:rsid w:val="00876098"/>
    <w:rsid w:val="008C2462"/>
    <w:rsid w:val="008C6603"/>
    <w:rsid w:val="008E6C75"/>
    <w:rsid w:val="00904562"/>
    <w:rsid w:val="00933FB1"/>
    <w:rsid w:val="009452F0"/>
    <w:rsid w:val="009803E2"/>
    <w:rsid w:val="00983547"/>
    <w:rsid w:val="00983A0E"/>
    <w:rsid w:val="00985903"/>
    <w:rsid w:val="00987882"/>
    <w:rsid w:val="00991A5F"/>
    <w:rsid w:val="009A493D"/>
    <w:rsid w:val="009E22BE"/>
    <w:rsid w:val="00A07CD9"/>
    <w:rsid w:val="00A11ADB"/>
    <w:rsid w:val="00A13AC8"/>
    <w:rsid w:val="00A31BCA"/>
    <w:rsid w:val="00A32FC4"/>
    <w:rsid w:val="00A706EF"/>
    <w:rsid w:val="00A874A1"/>
    <w:rsid w:val="00A9013D"/>
    <w:rsid w:val="00AA7215"/>
    <w:rsid w:val="00AD1944"/>
    <w:rsid w:val="00B21B9A"/>
    <w:rsid w:val="00B24770"/>
    <w:rsid w:val="00B247A3"/>
    <w:rsid w:val="00B33FE1"/>
    <w:rsid w:val="00B3419E"/>
    <w:rsid w:val="00B75D8D"/>
    <w:rsid w:val="00B91628"/>
    <w:rsid w:val="00BA758E"/>
    <w:rsid w:val="00BB3FB1"/>
    <w:rsid w:val="00BD7CAC"/>
    <w:rsid w:val="00BF48A7"/>
    <w:rsid w:val="00BF78C9"/>
    <w:rsid w:val="00C10EEF"/>
    <w:rsid w:val="00C2350A"/>
    <w:rsid w:val="00C41113"/>
    <w:rsid w:val="00C43FBC"/>
    <w:rsid w:val="00C706F3"/>
    <w:rsid w:val="00C8242E"/>
    <w:rsid w:val="00CB491D"/>
    <w:rsid w:val="00CC2A63"/>
    <w:rsid w:val="00CC316A"/>
    <w:rsid w:val="00CD3AEE"/>
    <w:rsid w:val="00CE4C7D"/>
    <w:rsid w:val="00CF6B8E"/>
    <w:rsid w:val="00D2717A"/>
    <w:rsid w:val="00D6088E"/>
    <w:rsid w:val="00D6196C"/>
    <w:rsid w:val="00D943D0"/>
    <w:rsid w:val="00DA11F7"/>
    <w:rsid w:val="00DE079C"/>
    <w:rsid w:val="00E03114"/>
    <w:rsid w:val="00E04A58"/>
    <w:rsid w:val="00E053DE"/>
    <w:rsid w:val="00E24CEB"/>
    <w:rsid w:val="00E4526F"/>
    <w:rsid w:val="00E478CB"/>
    <w:rsid w:val="00E63790"/>
    <w:rsid w:val="00E847C5"/>
    <w:rsid w:val="00EA459A"/>
    <w:rsid w:val="00ED1082"/>
    <w:rsid w:val="00ED5AAA"/>
    <w:rsid w:val="00F25231"/>
    <w:rsid w:val="00F466B5"/>
    <w:rsid w:val="00FA73A8"/>
    <w:rsid w:val="00FC139C"/>
    <w:rsid w:val="00FC13C1"/>
    <w:rsid w:val="00FD3945"/>
    <w:rsid w:val="00FE395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9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F848D8-478C-A745-8B44-0B3B9841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3478</Words>
  <Characters>19761</Characters>
  <Application>Microsoft Macintosh Word</Application>
  <DocSecurity>0</DocSecurity>
  <Lines>459</Lines>
  <Paragraphs>230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Paris 1</Company>
  <LinksUpToDate>false</LinksUpToDate>
  <CharactersWithSpaces>23009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Quentin S</cp:lastModifiedBy>
  <cp:revision>10</cp:revision>
  <cp:lastPrinted>2017-06-26T23:58:00Z</cp:lastPrinted>
  <dcterms:created xsi:type="dcterms:W3CDTF">2017-06-06T12:50:00Z</dcterms:created>
  <dcterms:modified xsi:type="dcterms:W3CDTF">2017-06-27T00:04:00Z</dcterms:modified>
</cp:coreProperties>
</file>