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02EC" w14:textId="1D37E0F5" w:rsidR="00605C51" w:rsidRPr="00605C51" w:rsidRDefault="00605C51" w:rsidP="00774721">
      <w:pPr>
        <w:pStyle w:val="Titre"/>
      </w:pPr>
      <w:r>
        <w:t>Elements of Bankruptcy</w:t>
      </w:r>
      <w:r w:rsidR="000A0C46">
        <w:t xml:space="preserve"> Law and Business Rescue in Brazil</w:t>
      </w:r>
    </w:p>
    <w:p w14:paraId="119D8564" w14:textId="36452268" w:rsidR="008508B6" w:rsidRPr="00310E7C" w:rsidRDefault="00311159" w:rsidP="00B33FE1">
      <w:pPr>
        <w:pBdr>
          <w:bottom w:val="single" w:sz="4" w:space="1" w:color="auto"/>
        </w:pBdr>
      </w:pPr>
      <w:r w:rsidRPr="00343657">
        <w:rPr>
          <w:color w:val="000000" w:themeColor="text1"/>
        </w:rPr>
        <w:t>By</w:t>
      </w:r>
      <w:r w:rsidR="00983A0E" w:rsidRPr="00310E7C">
        <w:t xml:space="preserve"> </w:t>
      </w:r>
      <w:r w:rsidR="00606ADB" w:rsidRPr="00310E7C">
        <w:rPr>
          <w:b/>
        </w:rPr>
        <w:t>Luiz Fernando VALENTE DE PAIVA</w:t>
      </w:r>
      <w:r w:rsidR="00983A0E" w:rsidRPr="00310E7C">
        <w:t>,</w:t>
      </w:r>
      <w:r w:rsidR="00644D9E" w:rsidRPr="00310E7C">
        <w:t xml:space="preserve"> </w:t>
      </w:r>
      <w:r w:rsidR="00606ADB" w:rsidRPr="00310E7C">
        <w:t>Vice-</w:t>
      </w:r>
      <w:proofErr w:type="spellStart"/>
      <w:r w:rsidR="00606ADB" w:rsidRPr="00310E7C">
        <w:t>Président</w:t>
      </w:r>
      <w:proofErr w:type="spellEnd"/>
      <w:r w:rsidR="00606ADB" w:rsidRPr="00310E7C">
        <w:t xml:space="preserve"> of TMA</w:t>
      </w:r>
      <w:r w:rsidR="00225E5D" w:rsidRPr="00310E7C">
        <w:t>, Sao Paulo, Brazil</w:t>
      </w:r>
      <w:r w:rsidR="00AA4A55" w:rsidRPr="00310E7C">
        <w:t xml:space="preserve">. Co-head of the corporate restructuring team of </w:t>
      </w:r>
      <w:proofErr w:type="spellStart"/>
      <w:r w:rsidR="00AA4A55" w:rsidRPr="00310E7C">
        <w:t>Pinheiro</w:t>
      </w:r>
      <w:proofErr w:type="spellEnd"/>
      <w:r w:rsidR="00AA4A55" w:rsidRPr="00310E7C">
        <w:t xml:space="preserve"> </w:t>
      </w:r>
      <w:proofErr w:type="spellStart"/>
      <w:r w:rsidR="00AA4A55" w:rsidRPr="00310E7C">
        <w:t>Neto</w:t>
      </w:r>
      <w:proofErr w:type="spellEnd"/>
      <w:r w:rsidR="00AA4A55" w:rsidRPr="00310E7C">
        <w:t xml:space="preserve"> </w:t>
      </w:r>
      <w:proofErr w:type="spellStart"/>
      <w:r w:rsidR="00AA4A55" w:rsidRPr="00310E7C">
        <w:t>Advogados</w:t>
      </w:r>
      <w:proofErr w:type="spellEnd"/>
    </w:p>
    <w:p w14:paraId="52F3CF3B" w14:textId="77777777" w:rsidR="00764243" w:rsidRDefault="00764243" w:rsidP="00311159">
      <w:pPr>
        <w:pStyle w:val="Titre1"/>
        <w:rPr>
          <w:caps/>
          <w:smallCaps w:val="0"/>
          <w:spacing w:val="-4"/>
          <w:sz w:val="24"/>
          <w:szCs w:val="24"/>
          <w:lang w:val="en-US"/>
        </w:rPr>
      </w:pPr>
    </w:p>
    <w:p w14:paraId="534121C3" w14:textId="4072BA79" w:rsidR="00843086" w:rsidRPr="00310E7C" w:rsidRDefault="00843086" w:rsidP="00311159">
      <w:pPr>
        <w:pStyle w:val="Titre1"/>
        <w:rPr>
          <w:caps/>
          <w:smallCaps w:val="0"/>
          <w:spacing w:val="-4"/>
          <w:sz w:val="24"/>
          <w:szCs w:val="24"/>
          <w:lang w:val="en-US"/>
        </w:rPr>
      </w:pPr>
      <w:r w:rsidRPr="00310E7C">
        <w:rPr>
          <w:caps/>
          <w:smallCaps w:val="0"/>
          <w:spacing w:val="-4"/>
          <w:sz w:val="24"/>
          <w:szCs w:val="24"/>
          <w:lang w:val="en-US"/>
        </w:rPr>
        <w:t>Background and history in brief</w:t>
      </w:r>
    </w:p>
    <w:p w14:paraId="45561D8B" w14:textId="17FE6618" w:rsidR="00343657" w:rsidRPr="00343657" w:rsidRDefault="00343657" w:rsidP="00343657">
      <w:pPr>
        <w:keepNext/>
        <w:framePr w:dropCap="drop" w:lines="3" w:wrap="around" w:vAnchor="text" w:hAnchor="text"/>
        <w:spacing w:before="77" w:line="810" w:lineRule="exact"/>
        <w:textAlignment w:val="baseline"/>
        <w:rPr>
          <w:rFonts w:eastAsia="Times New Roman"/>
          <w:color w:val="000000"/>
          <w:spacing w:val="3"/>
          <w:position w:val="-8"/>
          <w:sz w:val="110"/>
          <w:lang w:val="en-GB"/>
        </w:rPr>
      </w:pPr>
      <w:r w:rsidRPr="00343657">
        <w:rPr>
          <w:rFonts w:eastAsia="Times New Roman"/>
          <w:color w:val="000000"/>
          <w:spacing w:val="3"/>
          <w:position w:val="-8"/>
          <w:sz w:val="110"/>
          <w:lang w:val="en-GB"/>
        </w:rPr>
        <w:t>C</w:t>
      </w:r>
    </w:p>
    <w:p w14:paraId="549B0465" w14:textId="1EC21DD0" w:rsidR="00843086" w:rsidRPr="00311159" w:rsidRDefault="00843086" w:rsidP="00E22BA4">
      <w:pPr>
        <w:spacing w:before="317"/>
        <w:textAlignment w:val="baseline"/>
        <w:rPr>
          <w:rFonts w:eastAsia="Times New Roman"/>
          <w:color w:val="000000"/>
          <w:spacing w:val="3"/>
          <w:lang w:val="en-GB"/>
        </w:rPr>
      </w:pPr>
      <w:r w:rsidRPr="00311159">
        <w:rPr>
          <w:rFonts w:eastAsia="Times New Roman"/>
          <w:color w:val="000000"/>
          <w:spacing w:val="3"/>
          <w:lang w:val="en-GB"/>
        </w:rPr>
        <w:t xml:space="preserve">ulminating more than a decade of debates, the Brazilian government enacted the </w:t>
      </w:r>
      <w:r w:rsidRPr="00311159">
        <w:rPr>
          <w:rFonts w:eastAsia="Times New Roman"/>
          <w:i/>
          <w:color w:val="000000"/>
          <w:spacing w:val="3"/>
          <w:lang w:val="en-GB"/>
        </w:rPr>
        <w:t xml:space="preserve">Nova Lei de </w:t>
      </w:r>
      <w:proofErr w:type="spellStart"/>
      <w:r w:rsidRPr="00311159">
        <w:rPr>
          <w:rFonts w:eastAsia="Times New Roman"/>
          <w:i/>
          <w:color w:val="000000"/>
          <w:spacing w:val="3"/>
          <w:lang w:val="en-GB"/>
        </w:rPr>
        <w:t>Falências</w:t>
      </w:r>
      <w:proofErr w:type="spellEnd"/>
      <w:r w:rsidRPr="00311159">
        <w:rPr>
          <w:rFonts w:eastAsia="Times New Roman"/>
          <w:i/>
          <w:color w:val="000000"/>
          <w:spacing w:val="3"/>
          <w:lang w:val="en-GB"/>
        </w:rPr>
        <w:t xml:space="preserve"> e </w:t>
      </w:r>
      <w:proofErr w:type="spellStart"/>
      <w:r w:rsidRPr="00311159">
        <w:rPr>
          <w:rFonts w:eastAsia="Times New Roman"/>
          <w:i/>
          <w:color w:val="000000"/>
          <w:spacing w:val="3"/>
          <w:lang w:val="en-GB"/>
        </w:rPr>
        <w:t>Recuperação</w:t>
      </w:r>
      <w:proofErr w:type="spellEnd"/>
      <w:r w:rsidRPr="00311159">
        <w:rPr>
          <w:rFonts w:eastAsia="Times New Roman"/>
          <w:i/>
          <w:color w:val="000000"/>
          <w:spacing w:val="3"/>
          <w:lang w:val="en-GB"/>
        </w:rPr>
        <w:t xml:space="preserve"> de </w:t>
      </w:r>
      <w:proofErr w:type="spellStart"/>
      <w:r w:rsidRPr="00311159">
        <w:rPr>
          <w:rFonts w:eastAsia="Times New Roman"/>
          <w:i/>
          <w:color w:val="000000"/>
          <w:spacing w:val="3"/>
          <w:lang w:val="en-GB"/>
        </w:rPr>
        <w:t>Empresas</w:t>
      </w:r>
      <w:proofErr w:type="spellEnd"/>
      <w:r w:rsidRPr="00311159">
        <w:rPr>
          <w:rFonts w:eastAsia="Times New Roman"/>
          <w:i/>
          <w:color w:val="000000"/>
          <w:spacing w:val="3"/>
          <w:lang w:val="en-GB"/>
        </w:rPr>
        <w:t xml:space="preserve">, </w:t>
      </w:r>
      <w:r w:rsidRPr="00311159">
        <w:rPr>
          <w:rFonts w:eastAsia="Times New Roman"/>
          <w:color w:val="000000"/>
          <w:spacing w:val="3"/>
          <w:lang w:val="en-GB"/>
        </w:rPr>
        <w:t>Law N° 11,101 (</w:t>
      </w:r>
      <w:r w:rsidRPr="00B05950">
        <w:rPr>
          <w:rFonts w:eastAsia="Times New Roman"/>
          <w:color w:val="000000"/>
          <w:spacing w:val="3"/>
          <w:lang w:val="en-GB"/>
        </w:rPr>
        <w:t>“Brazilian Bankruptcy Law” or “BBL”),</w:t>
      </w:r>
      <w:r w:rsidRPr="00B05950">
        <w:rPr>
          <w:rStyle w:val="Marquenotebasdepage"/>
          <w:rFonts w:eastAsia="Times New Roman"/>
          <w:color w:val="000000"/>
          <w:spacing w:val="3"/>
          <w:lang w:val="en-GB"/>
        </w:rPr>
        <w:footnoteReference w:id="1"/>
      </w:r>
      <w:r w:rsidRPr="00B05950" w:rsidDel="004E7DF5">
        <w:rPr>
          <w:rFonts w:eastAsia="Verdana"/>
          <w:color w:val="000000"/>
          <w:spacing w:val="3"/>
          <w:vertAlign w:val="superscript"/>
          <w:lang w:val="en-GB"/>
        </w:rPr>
        <w:t xml:space="preserve"> </w:t>
      </w:r>
      <w:r w:rsidRPr="00B05950">
        <w:rPr>
          <w:rFonts w:eastAsia="Times New Roman"/>
          <w:color w:val="000000"/>
          <w:spacing w:val="3"/>
          <w:lang w:val="en-GB"/>
        </w:rPr>
        <w:t xml:space="preserve"> which was published on 9 February 2005 and came into effect on 9 June 2005. It was the first major overhaul of Brazil’s corporate insolvency laws in sixty years. The BBL replaced the previous bankruptcy law, i.e. Decree-Law 7,661 (“Prior Bankruptcy Law”)</w:t>
      </w:r>
      <w:r w:rsidRPr="00311159">
        <w:rPr>
          <w:rFonts w:eastAsia="Times New Roman"/>
          <w:color w:val="000000"/>
          <w:spacing w:val="3"/>
          <w:lang w:val="en-GB"/>
        </w:rPr>
        <w:t xml:space="preserve">, which had been in force since 1945. The BBL represents a significant change in the principles and in the form of activity of the various players involved in bankruptcy and reorganisation processes in Brazil. Most ancient practices are now abandoned as society increasingly adapts itself to the new stimuli incorporated into the Brazilian legal system by the BBL, which has completed a decade in 2015. </w:t>
      </w:r>
    </w:p>
    <w:p w14:paraId="78A87434" w14:textId="77777777" w:rsidR="00843086" w:rsidRPr="00311159" w:rsidRDefault="00843086" w:rsidP="00E22BA4">
      <w:pPr>
        <w:spacing w:before="14"/>
        <w:textAlignment w:val="baseline"/>
        <w:rPr>
          <w:rFonts w:eastAsia="Garamond"/>
          <w:color w:val="000000"/>
          <w:lang w:val="en-GB"/>
        </w:rPr>
      </w:pPr>
      <w:r w:rsidRPr="00311159">
        <w:rPr>
          <w:rFonts w:eastAsia="Times New Roman"/>
          <w:color w:val="000000"/>
          <w:spacing w:val="4"/>
          <w:lang w:val="en-GB"/>
        </w:rPr>
        <w:t>One of the primary aims of the BBL is to provide financially distressed but economically viable companies with the opportunity to restructure their operations through market-based solutions directly negotiated with creditors. The public policy underlying the reforms is expressed in article 47 of the BBL, which states that the new law seeks to make it possible for debtors to overcome their economic and financial crises while maintaining the production source, the employment of workers, and the interests of creditors, thus enabling debtors to continue the operation of their businesses, preserve the social function of their companies, and foster economic activity</w:t>
      </w:r>
      <w:r w:rsidRPr="00311159">
        <w:rPr>
          <w:rStyle w:val="Marquenotebasdepage"/>
          <w:rFonts w:eastAsia="Times New Roman"/>
          <w:color w:val="000000"/>
          <w:spacing w:val="4"/>
          <w:lang w:val="en-GB"/>
        </w:rPr>
        <w:footnoteReference w:id="2"/>
      </w:r>
      <w:r w:rsidRPr="00311159">
        <w:rPr>
          <w:rFonts w:eastAsia="Times New Roman"/>
          <w:color w:val="000000"/>
          <w:spacing w:val="4"/>
          <w:lang w:val="en-GB"/>
        </w:rPr>
        <w:t>. Other important goals include</w:t>
      </w:r>
      <w:r w:rsidRPr="00311159">
        <w:rPr>
          <w:rFonts w:eastAsia="Garamond"/>
          <w:color w:val="000000"/>
          <w:lang w:val="en-GB"/>
        </w:rPr>
        <w:t xml:space="preserve"> </w:t>
      </w:r>
      <w:r w:rsidRPr="00311159">
        <w:rPr>
          <w:rFonts w:eastAsia="Times New Roman"/>
          <w:color w:val="000000"/>
          <w:spacing w:val="4"/>
          <w:lang w:val="en-GB"/>
        </w:rPr>
        <w:t>maximising the value of the debtor’s assets for the benefit of creditors and achieving flexible and equitable treatment among creditors</w:t>
      </w:r>
      <w:r w:rsidRPr="00311159">
        <w:rPr>
          <w:rStyle w:val="Marquenotebasdepage"/>
          <w:rFonts w:eastAsia="Times New Roman"/>
          <w:color w:val="000000"/>
          <w:spacing w:val="4"/>
          <w:lang w:val="en-GB"/>
        </w:rPr>
        <w:footnoteReference w:id="3"/>
      </w:r>
      <w:r w:rsidRPr="00311159">
        <w:rPr>
          <w:rFonts w:eastAsia="Times New Roman"/>
          <w:color w:val="000000"/>
          <w:spacing w:val="4"/>
          <w:lang w:val="en-GB"/>
        </w:rPr>
        <w:t>.</w:t>
      </w:r>
    </w:p>
    <w:p w14:paraId="717EE114" w14:textId="689187D9" w:rsidR="00843086" w:rsidRPr="00311159" w:rsidRDefault="00843086" w:rsidP="00E22BA4">
      <w:pPr>
        <w:spacing w:before="314"/>
        <w:textAlignment w:val="baseline"/>
        <w:rPr>
          <w:rFonts w:eastAsia="Garamond"/>
          <w:color w:val="000000"/>
          <w:lang w:val="en-GB"/>
        </w:rPr>
      </w:pPr>
      <w:r w:rsidRPr="00311159">
        <w:rPr>
          <w:rFonts w:eastAsia="Garamond"/>
          <w:color w:val="000000"/>
          <w:lang w:val="en-GB"/>
        </w:rPr>
        <w:lastRenderedPageBreak/>
        <w:t>The previous statute had numerous fundamental weaknesses, such as prohibiting debtors from negotiating plans of reorganisation directly with their creditors. Under the Prior Bankruptcy Law, a negotiation could be sanctioned with what was referred to as an “act of bankruptcy.”</w:t>
      </w:r>
      <w:r w:rsidRPr="00311159">
        <w:rPr>
          <w:rStyle w:val="Marquenotebasdepage"/>
          <w:rFonts w:eastAsia="Garamond"/>
          <w:color w:val="000000"/>
          <w:lang w:val="en-GB"/>
        </w:rPr>
        <w:footnoteReference w:id="4"/>
      </w:r>
      <w:r w:rsidRPr="00311159">
        <w:rPr>
          <w:rFonts w:eastAsia="Garamond"/>
          <w:color w:val="000000"/>
          <w:lang w:val="en-GB"/>
        </w:rPr>
        <w:t xml:space="preserve"> These acts automatically opened the door to a bankruptcy petition against the debtor, which could be decreed independently of the debtor’s economic condition </w:t>
      </w:r>
      <w:r w:rsidR="00774721">
        <w:rPr>
          <w:rFonts w:eastAsia="Times New Roman"/>
          <w:color w:val="000000"/>
          <w:lang w:val="en-GB"/>
        </w:rPr>
        <w:t>–</w:t>
      </w:r>
      <w:r w:rsidRPr="00311159">
        <w:rPr>
          <w:rFonts w:eastAsia="Garamond"/>
          <w:color w:val="000000"/>
          <w:lang w:val="en-GB"/>
        </w:rPr>
        <w:t xml:space="preserve"> that is to say, even if it were solvent. It also granted debtors a very limited debt discharge. For example, the </w:t>
      </w:r>
      <w:proofErr w:type="spellStart"/>
      <w:r w:rsidRPr="00311159">
        <w:rPr>
          <w:rFonts w:eastAsia="Garamond"/>
          <w:i/>
          <w:color w:val="000000"/>
          <w:lang w:val="en-GB"/>
        </w:rPr>
        <w:t>concordata</w:t>
      </w:r>
      <w:proofErr w:type="spellEnd"/>
      <w:r w:rsidRPr="00311159">
        <w:rPr>
          <w:rFonts w:eastAsia="Garamond"/>
          <w:i/>
          <w:color w:val="000000"/>
          <w:lang w:val="en-GB"/>
        </w:rPr>
        <w:t xml:space="preserve"> </w:t>
      </w:r>
      <w:r w:rsidRPr="00311159">
        <w:rPr>
          <w:rFonts w:eastAsia="Garamond"/>
          <w:color w:val="000000"/>
          <w:lang w:val="en-GB"/>
        </w:rPr>
        <w:t>was the sole court-supervised reorganisation proceeding under the Prior Bankruptcy Law.</w:t>
      </w:r>
      <w:r w:rsidRPr="00311159">
        <w:rPr>
          <w:rStyle w:val="Marquenotebasdepage"/>
          <w:rFonts w:eastAsia="Garamond"/>
          <w:color w:val="000000"/>
          <w:lang w:val="en-GB"/>
        </w:rPr>
        <w:footnoteReference w:id="5"/>
      </w:r>
    </w:p>
    <w:p w14:paraId="4D15DFAA" w14:textId="4B10B96F" w:rsidR="00560417" w:rsidRPr="00311159" w:rsidRDefault="00843086" w:rsidP="00E22BA4">
      <w:pPr>
        <w:spacing w:before="11"/>
        <w:textAlignment w:val="baseline"/>
        <w:rPr>
          <w:rFonts w:eastAsia="Times New Roman"/>
          <w:color w:val="000000"/>
          <w:lang w:val="en-GB"/>
        </w:rPr>
      </w:pPr>
      <w:r w:rsidRPr="00311159">
        <w:rPr>
          <w:rFonts w:eastAsia="Garamond"/>
          <w:color w:val="000000"/>
          <w:lang w:val="en-GB"/>
        </w:rPr>
        <w:t xml:space="preserve">The debt discharge available to debtors pursuing a </w:t>
      </w:r>
      <w:proofErr w:type="spellStart"/>
      <w:r w:rsidRPr="00311159">
        <w:rPr>
          <w:rFonts w:eastAsia="Garamond"/>
          <w:i/>
          <w:color w:val="000000"/>
          <w:lang w:val="en-GB"/>
        </w:rPr>
        <w:t>concordata</w:t>
      </w:r>
      <w:proofErr w:type="spellEnd"/>
      <w:r w:rsidRPr="00311159">
        <w:rPr>
          <w:rFonts w:eastAsia="Garamond"/>
          <w:i/>
          <w:color w:val="000000"/>
          <w:lang w:val="en-GB"/>
        </w:rPr>
        <w:t xml:space="preserve"> was </w:t>
      </w:r>
      <w:r w:rsidRPr="00311159">
        <w:rPr>
          <w:rFonts w:eastAsia="Garamond"/>
          <w:color w:val="000000"/>
          <w:lang w:val="en-GB"/>
        </w:rPr>
        <w:t>restricted to a statutorily prescribed percentage of unsecured claims</w:t>
      </w:r>
      <w:r w:rsidRPr="00311159">
        <w:rPr>
          <w:rStyle w:val="Marquenotebasdepage"/>
          <w:rFonts w:eastAsia="Garamond"/>
          <w:color w:val="000000"/>
          <w:lang w:val="en-GB"/>
        </w:rPr>
        <w:footnoteReference w:id="6"/>
      </w:r>
      <w:r w:rsidRPr="00311159">
        <w:rPr>
          <w:rFonts w:eastAsia="Garamond"/>
          <w:color w:val="000000"/>
          <w:lang w:val="en-GB"/>
        </w:rPr>
        <w:t xml:space="preserve">, and since the </w:t>
      </w:r>
      <w:proofErr w:type="spellStart"/>
      <w:r w:rsidRPr="00311159">
        <w:rPr>
          <w:rFonts w:eastAsia="Garamond"/>
          <w:i/>
          <w:color w:val="000000"/>
          <w:lang w:val="en-GB"/>
        </w:rPr>
        <w:t>concordata</w:t>
      </w:r>
      <w:proofErr w:type="spellEnd"/>
      <w:r w:rsidRPr="00311159">
        <w:rPr>
          <w:rFonts w:eastAsia="Garamond"/>
          <w:i/>
          <w:color w:val="000000"/>
          <w:lang w:val="en-GB"/>
        </w:rPr>
        <w:t xml:space="preserve"> </w:t>
      </w:r>
      <w:r w:rsidRPr="00311159">
        <w:rPr>
          <w:rFonts w:eastAsia="Garamond"/>
          <w:color w:val="000000"/>
          <w:lang w:val="en-GB"/>
        </w:rPr>
        <w:t xml:space="preserve">was based on the principle of </w:t>
      </w:r>
      <w:r w:rsidRPr="00311159">
        <w:rPr>
          <w:rFonts w:eastAsia="Garamond"/>
          <w:i/>
          <w:color w:val="000000"/>
          <w:lang w:val="en-GB"/>
        </w:rPr>
        <w:t xml:space="preserve">par </w:t>
      </w:r>
      <w:proofErr w:type="spellStart"/>
      <w:r w:rsidRPr="00311159">
        <w:rPr>
          <w:rFonts w:eastAsia="Garamond"/>
          <w:i/>
          <w:color w:val="000000"/>
          <w:lang w:val="en-GB"/>
        </w:rPr>
        <w:t>conditio</w:t>
      </w:r>
      <w:proofErr w:type="spellEnd"/>
      <w:r w:rsidRPr="00311159">
        <w:rPr>
          <w:rFonts w:eastAsia="Garamond"/>
          <w:i/>
          <w:color w:val="000000"/>
          <w:lang w:val="en-GB"/>
        </w:rPr>
        <w:t xml:space="preserve"> </w:t>
      </w:r>
      <w:proofErr w:type="spellStart"/>
      <w:r w:rsidRPr="00311159">
        <w:rPr>
          <w:rFonts w:eastAsia="Garamond"/>
          <w:i/>
          <w:color w:val="000000"/>
          <w:lang w:val="en-GB"/>
        </w:rPr>
        <w:t>creditorum</w:t>
      </w:r>
      <w:proofErr w:type="spellEnd"/>
      <w:r w:rsidRPr="00311159">
        <w:rPr>
          <w:rFonts w:eastAsia="Garamond"/>
          <w:i/>
          <w:color w:val="000000"/>
          <w:lang w:val="en-GB"/>
        </w:rPr>
        <w:t xml:space="preserve">, </w:t>
      </w:r>
      <w:r w:rsidRPr="00311159">
        <w:rPr>
          <w:rFonts w:eastAsia="Garamond"/>
          <w:color w:val="000000"/>
          <w:lang w:val="en-GB"/>
        </w:rPr>
        <w:t xml:space="preserve">a debtor was required to provide identical treatment to all interests of different creditors. Consequently, </w:t>
      </w:r>
      <w:r w:rsidRPr="00311159">
        <w:rPr>
          <w:rFonts w:eastAsia="Times New Roman"/>
          <w:color w:val="000000"/>
          <w:lang w:val="en-GB"/>
        </w:rPr>
        <w:t>few debtors were able to shed sufficient amounts of debt to restructure their operations successfully. Consequently, bankruptcy liquidations comprised the vast majority of insolvency proceedings under the former law. Another glaring deficiency of the Prior Bankruptcy Law was the absence of incentives for debtors to reorganise with speed and efficiency.</w:t>
      </w:r>
    </w:p>
    <w:p w14:paraId="0A4FDB93" w14:textId="5BA6BB9D" w:rsidR="00560417" w:rsidRPr="003A685D" w:rsidRDefault="00843086" w:rsidP="00E22BA4">
      <w:pPr>
        <w:spacing w:before="11"/>
        <w:textAlignment w:val="baseline"/>
        <w:rPr>
          <w:rFonts w:eastAsia="Times New Roman"/>
          <w:color w:val="000000"/>
          <w:lang w:val="en-GB"/>
        </w:rPr>
      </w:pPr>
      <w:r w:rsidRPr="00311159">
        <w:rPr>
          <w:rFonts w:eastAsia="Times New Roman"/>
          <w:color w:val="000000"/>
          <w:lang w:val="en-GB"/>
        </w:rPr>
        <w:t xml:space="preserve">Another shortcoming of the Prior Bankruptcy Law was the limited safeguards for secured creditors in a bankruptcy liquidation where insufficient assets existed to pay all claims in full. Unlike the layers of protection afforded to holders of secured claims under the US Bankruptcy Code, the Prior Bankruptcy Law generally prevented secured creditors in Brazil from enforcing pre-petition guarantees or redeeming the collateral securing a </w:t>
      </w:r>
      <w:r w:rsidRPr="00311159">
        <w:rPr>
          <w:rFonts w:eastAsia="Times New Roman"/>
          <w:color w:val="000000"/>
          <w:lang w:val="en-GB"/>
        </w:rPr>
        <w:lastRenderedPageBreak/>
        <w:t>loan. The primary source of this problem was the priority scheme for claims.</w:t>
      </w:r>
      <w:r w:rsidR="00560417" w:rsidRPr="003A685D">
        <w:rPr>
          <w:rFonts w:eastAsia="Times New Roman"/>
          <w:color w:val="000000"/>
          <w:lang w:val="en-GB"/>
        </w:rPr>
        <w:t xml:space="preserve"> </w:t>
      </w:r>
    </w:p>
    <w:p w14:paraId="647413D4" w14:textId="69F16051" w:rsidR="00560417" w:rsidRPr="003A685D" w:rsidRDefault="00843086" w:rsidP="00E22BA4">
      <w:pPr>
        <w:spacing w:before="11"/>
        <w:textAlignment w:val="baseline"/>
        <w:rPr>
          <w:rFonts w:eastAsia="Times New Roman"/>
          <w:color w:val="000000"/>
          <w:lang w:val="en-GB"/>
        </w:rPr>
      </w:pPr>
      <w:r w:rsidRPr="00311159">
        <w:rPr>
          <w:rFonts w:eastAsia="Times New Roman"/>
          <w:color w:val="000000"/>
          <w:lang w:val="en-GB"/>
        </w:rPr>
        <w:t>Under the Prior Bankruptcy Law, secured claims were placed lower in priority than two classes of potentially unlimited claims</w:t>
      </w:r>
      <w:r w:rsidR="00774721">
        <w:rPr>
          <w:rFonts w:eastAsia="Times New Roman"/>
          <w:color w:val="000000"/>
          <w:lang w:val="en-GB"/>
        </w:rPr>
        <w:t xml:space="preserve"> – </w:t>
      </w:r>
      <w:r w:rsidRPr="00311159">
        <w:rPr>
          <w:rFonts w:eastAsia="Times New Roman"/>
          <w:color w:val="000000"/>
          <w:lang w:val="en-GB"/>
        </w:rPr>
        <w:t>labour claims (first priority) and tax claims (second priority). Since labour claims and tax claims are frequently enormous in Brazil, there were generally few assets remaining in a debtor’s estate to satisfy secured claims. As a result, Brazilian lenders incurred tremendous losses due to loan defaults in bankruptcy. Furthermore, the Prior Bankruptcy Law failed to protect purchasers of assets in bankruptcy from successor liability.</w:t>
      </w:r>
    </w:p>
    <w:p w14:paraId="62641EAA" w14:textId="7437CC88" w:rsidR="00843086" w:rsidRPr="003A685D" w:rsidRDefault="00843086" w:rsidP="00E22BA4">
      <w:pPr>
        <w:spacing w:before="11"/>
        <w:textAlignment w:val="baseline"/>
        <w:rPr>
          <w:rFonts w:eastAsia="Times New Roman"/>
          <w:color w:val="000000"/>
          <w:lang w:val="en-GB"/>
        </w:rPr>
      </w:pPr>
      <w:r w:rsidRPr="00311159">
        <w:rPr>
          <w:rFonts w:eastAsia="Times New Roman"/>
          <w:color w:val="000000"/>
          <w:lang w:val="en-GB"/>
        </w:rPr>
        <w:t>For example, the previous statute did not contain a provision comparable to §363 under the US Bankruptcy Code nor to article 60, single paragraph, of the BBL, which generally authorises the sale of a debtor’s assets “free and clear” of all interests. Rather, investors purchasing assets through insolvency proceedings in Brazil were saddled with successor liability for labour claims and tax claims related to such assets that accrued during the debtor’s period of ownership. Because the actual amounts of such claims were not generally known or capable of accurate estimation at the time of a sale, investors avoided purchasing assets from debtors. Consequently, the Prior Bankruptcy Law hampered the development of any meaningful market in Brazil for the sale of assets in bankruptcy</w:t>
      </w:r>
      <w:r w:rsidRPr="00311159">
        <w:rPr>
          <w:rStyle w:val="Marquenotebasdepage"/>
          <w:rFonts w:eastAsia="Times New Roman"/>
          <w:color w:val="000000"/>
          <w:lang w:val="en-GB"/>
        </w:rPr>
        <w:footnoteReference w:id="7"/>
      </w:r>
      <w:r w:rsidRPr="00311159">
        <w:rPr>
          <w:rFonts w:eastAsia="Times New Roman"/>
          <w:color w:val="000000"/>
          <w:lang w:val="en-GB"/>
        </w:rPr>
        <w:t xml:space="preserve">. </w:t>
      </w:r>
    </w:p>
    <w:p w14:paraId="75A18AEB" w14:textId="1BAE6AA7" w:rsidR="00560417" w:rsidRPr="003A685D" w:rsidRDefault="00843086" w:rsidP="00E22BA4">
      <w:pPr>
        <w:spacing w:before="12"/>
        <w:textAlignment w:val="baseline"/>
        <w:rPr>
          <w:rFonts w:eastAsia="Times New Roman"/>
          <w:color w:val="000000"/>
          <w:lang w:val="en-GB"/>
        </w:rPr>
      </w:pPr>
      <w:r w:rsidRPr="00311159">
        <w:rPr>
          <w:rFonts w:eastAsia="Times New Roman"/>
          <w:color w:val="000000"/>
          <w:lang w:val="en-GB"/>
        </w:rPr>
        <w:t>The BBL is guided by the basic principle that debtors generally possess greater social value as a going concern than they do from the piecemeal sale of their assets through forced liquidations. Accordingly, a key component of the BBL is the creation of two new legal proceedin</w:t>
      </w:r>
      <w:r w:rsidRPr="00B05950">
        <w:rPr>
          <w:rFonts w:eastAsia="Times New Roman"/>
          <w:color w:val="000000"/>
          <w:lang w:val="en-GB"/>
        </w:rPr>
        <w:t xml:space="preserve">gs, the </w:t>
      </w:r>
      <w:proofErr w:type="spellStart"/>
      <w:r w:rsidRPr="00B05950">
        <w:rPr>
          <w:rFonts w:eastAsia="Times New Roman"/>
          <w:i/>
          <w:color w:val="000000"/>
          <w:lang w:val="en-GB"/>
        </w:rPr>
        <w:t>Recuperação</w:t>
      </w:r>
      <w:proofErr w:type="spellEnd"/>
      <w:r w:rsidRPr="00B05950">
        <w:rPr>
          <w:rFonts w:eastAsia="Times New Roman"/>
          <w:i/>
          <w:color w:val="000000"/>
          <w:lang w:val="en-GB"/>
        </w:rPr>
        <w:t xml:space="preserve"> Judicial </w:t>
      </w:r>
      <w:r w:rsidRPr="00B05950">
        <w:rPr>
          <w:rFonts w:eastAsia="Times New Roman"/>
          <w:color w:val="000000"/>
          <w:lang w:val="en-GB"/>
        </w:rPr>
        <w:t xml:space="preserve">(“Judicial Reorganisation”) and the </w:t>
      </w:r>
      <w:proofErr w:type="spellStart"/>
      <w:r w:rsidRPr="00B05950">
        <w:rPr>
          <w:rFonts w:eastAsia="Times New Roman"/>
          <w:i/>
          <w:color w:val="000000"/>
          <w:lang w:val="en-GB"/>
        </w:rPr>
        <w:t>Recuperação</w:t>
      </w:r>
      <w:proofErr w:type="spellEnd"/>
      <w:r w:rsidRPr="00B05950">
        <w:rPr>
          <w:rFonts w:eastAsia="Times New Roman"/>
          <w:i/>
          <w:color w:val="000000"/>
          <w:lang w:val="en-GB"/>
        </w:rPr>
        <w:t xml:space="preserve"> Extrajudicial </w:t>
      </w:r>
      <w:r w:rsidRPr="00B05950">
        <w:rPr>
          <w:rFonts w:eastAsia="Times New Roman"/>
          <w:color w:val="000000"/>
          <w:lang w:val="en-GB"/>
        </w:rPr>
        <w:t>(“Out-of-Court” or “Pre-package Reorganisation”), both of which authorise debtors to obtain court confirmation</w:t>
      </w:r>
      <w:r w:rsidRPr="00311159">
        <w:rPr>
          <w:rFonts w:eastAsia="Times New Roman"/>
          <w:color w:val="000000"/>
          <w:lang w:val="en-GB"/>
        </w:rPr>
        <w:t xml:space="preserve"> of reorganisation plans negotiated directly with their creditors. The introduction of these two new reorganisation options is an acknowledgement in Brazil that the role of the courts in overseeing corporate insolvency proceedings should be limited to clearing the obstacles that prevent debtors from achieving market solutions to financial and economic crisis, with the Superior Court of Justice’s acknowledgement of the courts’ role being limited to review of the lawfulness of the chosen procedures</w:t>
      </w:r>
      <w:r w:rsidRPr="00311159">
        <w:rPr>
          <w:rStyle w:val="Marquenotebasdepage"/>
          <w:rFonts w:eastAsia="Times New Roman"/>
          <w:color w:val="000000"/>
          <w:lang w:val="en-GB"/>
        </w:rPr>
        <w:footnoteReference w:id="8"/>
      </w:r>
      <w:r w:rsidRPr="00311159">
        <w:rPr>
          <w:rFonts w:eastAsia="Times New Roman"/>
          <w:color w:val="000000"/>
          <w:lang w:val="en-GB"/>
        </w:rPr>
        <w:t xml:space="preserve">. In other words, the BBL recognises that the judiciary is not the best body to find the </w:t>
      </w:r>
      <w:r w:rsidRPr="00311159">
        <w:rPr>
          <w:rFonts w:eastAsia="Times New Roman"/>
          <w:i/>
          <w:color w:val="000000"/>
          <w:lang w:val="en-GB"/>
        </w:rPr>
        <w:t xml:space="preserve">means </w:t>
      </w:r>
      <w:r w:rsidRPr="00311159">
        <w:rPr>
          <w:rFonts w:eastAsia="Times New Roman"/>
          <w:color w:val="000000"/>
          <w:lang w:val="en-GB"/>
        </w:rPr>
        <w:t>of reorganisation for a company in distress, and limits its role (when compared to the Prior Bankruptcy Law) to conducting the process of negotiation between debtors and creditors in accordance with the terms and within the limits prescribed by law.</w:t>
      </w:r>
    </w:p>
    <w:p w14:paraId="0020A672" w14:textId="0D3E5C37" w:rsidR="00560417" w:rsidRPr="003A685D" w:rsidRDefault="00843086" w:rsidP="00E22BA4">
      <w:pPr>
        <w:spacing w:before="12"/>
        <w:textAlignment w:val="baseline"/>
        <w:rPr>
          <w:rFonts w:eastAsia="Times New Roman"/>
          <w:color w:val="000000"/>
          <w:spacing w:val="1"/>
          <w:lang w:val="en-GB"/>
        </w:rPr>
      </w:pPr>
      <w:r w:rsidRPr="00311159">
        <w:rPr>
          <w:rFonts w:eastAsia="Times New Roman"/>
          <w:color w:val="000000"/>
          <w:lang w:val="en-GB"/>
        </w:rPr>
        <w:lastRenderedPageBreak/>
        <w:t xml:space="preserve">The BBL represented a leap ahead in the Brazilian bankruptcy legislation and brought it closer to the best bankruptcy laws in force, such as that of the United States and of certain European countries. In short, it provided debtors with more effective mechanisms to protect their business (as compared to the old </w:t>
      </w:r>
      <w:proofErr w:type="spellStart"/>
      <w:r w:rsidRPr="00311159">
        <w:rPr>
          <w:rFonts w:eastAsia="Times New Roman"/>
          <w:i/>
          <w:color w:val="000000"/>
          <w:lang w:val="en-GB"/>
        </w:rPr>
        <w:t>concordata</w:t>
      </w:r>
      <w:proofErr w:type="spellEnd"/>
      <w:r w:rsidRPr="00311159">
        <w:rPr>
          <w:rFonts w:eastAsia="Times New Roman"/>
          <w:i/>
          <w:color w:val="000000"/>
          <w:lang w:val="en-GB"/>
        </w:rPr>
        <w:t xml:space="preserve">) </w:t>
      </w:r>
      <w:r w:rsidRPr="00311159">
        <w:rPr>
          <w:rFonts w:eastAsia="Times New Roman"/>
          <w:color w:val="000000"/>
          <w:lang w:val="en-GB"/>
        </w:rPr>
        <w:t>and with greater flexibility in designing reorganisation strategies. It also increased safeguards for secured creditors; broadened creditors’ involvement in the reorganisation process; and improved creditors’ ability to recover their credits. Additionally, it turned acquisitions of parts of distressed companies increasingly attractive, by furthering their legal security through a free and clear acquisition structure.</w:t>
      </w:r>
    </w:p>
    <w:p w14:paraId="02CA754E" w14:textId="58BBE842" w:rsidR="00843086" w:rsidRPr="00311159" w:rsidRDefault="00843086" w:rsidP="00E22BA4">
      <w:pPr>
        <w:spacing w:before="12"/>
        <w:textAlignment w:val="baseline"/>
        <w:rPr>
          <w:rFonts w:eastAsia="Times New Roman"/>
          <w:color w:val="000000"/>
          <w:spacing w:val="1"/>
          <w:lang w:val="en-GB"/>
        </w:rPr>
      </w:pPr>
      <w:r w:rsidRPr="00311159">
        <w:rPr>
          <w:rFonts w:eastAsia="Times New Roman"/>
          <w:color w:val="000000"/>
          <w:spacing w:val="1"/>
          <w:lang w:val="en-GB"/>
        </w:rPr>
        <w:t>Despite the improvements introduced by the BBL, it is a fact that several factors have contributed to the difficulties and uncertainties that arose in the initial period of application of the BBL: (1) the Judiciary’s poor understanding of its new role; (2) the fact that few judges were specialised in bankruptcy, reorganisation practices and economic aspects involved in insolvency proceedings; and (3) the fact that, since the bankruptcy law is federal, its application is a duty and a function of the courts of the states (Brazilian political subdivisions), which results in the judges of small legal districts having to apply it. Within the Brazilian territory, these uncertainties will undoubtedly be overcome as these new legal tools and regimes are used repeatedly.</w:t>
      </w:r>
    </w:p>
    <w:p w14:paraId="031433A4" w14:textId="7B1466E2" w:rsidR="00843086" w:rsidRPr="00310E7C" w:rsidRDefault="00843086" w:rsidP="00311159">
      <w:pPr>
        <w:pStyle w:val="Titre1"/>
        <w:rPr>
          <w:b w:val="0"/>
          <w:caps/>
          <w:spacing w:val="-4"/>
          <w:sz w:val="24"/>
          <w:szCs w:val="24"/>
          <w:lang w:val="en-US"/>
        </w:rPr>
      </w:pPr>
      <w:r w:rsidRPr="00310E7C">
        <w:rPr>
          <w:caps/>
          <w:smallCaps w:val="0"/>
          <w:spacing w:val="-4"/>
          <w:sz w:val="24"/>
          <w:szCs w:val="24"/>
          <w:lang w:val="en-US"/>
        </w:rPr>
        <w:t>Main sources</w:t>
      </w:r>
      <w:r w:rsidRPr="00311159">
        <w:rPr>
          <w:caps/>
          <w:color w:val="000000" w:themeColor="text1"/>
          <w:spacing w:val="-4"/>
          <w:sz w:val="24"/>
          <w:szCs w:val="24"/>
          <w:vertAlign w:val="superscript"/>
        </w:rPr>
        <w:footnoteReference w:id="9"/>
      </w:r>
    </w:p>
    <w:p w14:paraId="390DD446" w14:textId="77777777" w:rsidR="00843086" w:rsidRPr="00311159" w:rsidRDefault="00843086" w:rsidP="00E22BA4">
      <w:pPr>
        <w:textAlignment w:val="baseline"/>
        <w:rPr>
          <w:rFonts w:eastAsia="Times New Roman"/>
          <w:color w:val="000000"/>
          <w:spacing w:val="3"/>
          <w:lang w:val="en-GB"/>
        </w:rPr>
      </w:pPr>
      <w:r w:rsidRPr="00311159">
        <w:rPr>
          <w:rFonts w:eastAsia="Times New Roman"/>
          <w:color w:val="000000"/>
          <w:spacing w:val="3"/>
          <w:lang w:val="en-GB"/>
        </w:rPr>
        <w:t>Brazil has no unified legislation to regulate insolvency regimes. There are two basic regimes: one for business companies and sole proprietorships and another for non-business associations and companies and natural persons (including consumers).</w:t>
      </w:r>
    </w:p>
    <w:p w14:paraId="62955606" w14:textId="77777777" w:rsidR="00843086" w:rsidRPr="00774721" w:rsidRDefault="00843086" w:rsidP="00E22BA4">
      <w:pPr>
        <w:textAlignment w:val="baseline"/>
        <w:rPr>
          <w:rFonts w:eastAsia="Times New Roman"/>
          <w:color w:val="000000"/>
          <w:spacing w:val="4"/>
          <w:lang w:val="en-GB"/>
        </w:rPr>
      </w:pPr>
      <w:r w:rsidRPr="00311159">
        <w:rPr>
          <w:rFonts w:eastAsia="Times New Roman"/>
          <w:color w:val="000000"/>
          <w:spacing w:val="4"/>
          <w:lang w:val="en-GB"/>
        </w:rPr>
        <w:t xml:space="preserve">The BBL regulates out-of-court reorganisation, judicial reorganisation and bankruptcy for companies and </w:t>
      </w:r>
      <w:r w:rsidRPr="00774721">
        <w:rPr>
          <w:rFonts w:eastAsia="Times New Roman"/>
          <w:color w:val="000000"/>
          <w:spacing w:val="4"/>
          <w:lang w:val="en-GB"/>
        </w:rPr>
        <w:t>businesspersons. The insolvency of natural persons or non-business associations is ruled by the Brazilian Civil Code (“CC”); the rules of insolvency procedure are set forth in the Civil Procedure Code (“CPC”).</w:t>
      </w:r>
    </w:p>
    <w:p w14:paraId="161217CC" w14:textId="77777777" w:rsidR="00843086" w:rsidRPr="00311159" w:rsidRDefault="00843086" w:rsidP="00E22BA4">
      <w:pPr>
        <w:textAlignment w:val="baseline"/>
        <w:rPr>
          <w:rFonts w:eastAsia="Times New Roman"/>
          <w:color w:val="000000"/>
          <w:spacing w:val="2"/>
          <w:lang w:val="en-GB"/>
        </w:rPr>
      </w:pPr>
      <w:r w:rsidRPr="00774721">
        <w:rPr>
          <w:rFonts w:eastAsia="Times New Roman"/>
          <w:color w:val="000000"/>
          <w:spacing w:val="2"/>
          <w:lang w:val="en-GB"/>
        </w:rPr>
        <w:t>Financial institutions, in turn, are only partially subject to the regime set forth in the</w:t>
      </w:r>
      <w:r w:rsidRPr="00311159">
        <w:rPr>
          <w:rFonts w:eastAsia="Times New Roman"/>
          <w:color w:val="000000"/>
          <w:spacing w:val="2"/>
          <w:lang w:val="en-GB"/>
        </w:rPr>
        <w:t xml:space="preserve"> BBL, since in addition to not being allowed to claim the protection of a judicial or extrajudicial reorganisation, they can only be adjudged bankrupt after having been submitted to an intervention and/or extrajudicial liquidation conducted by the Central Bank of Brazil in the manner prescribed in Law No. 6024 of March 13, 1974.</w:t>
      </w:r>
    </w:p>
    <w:p w14:paraId="4F27AB00" w14:textId="77777777" w:rsidR="00843086" w:rsidRPr="00311159" w:rsidRDefault="00843086" w:rsidP="00E22BA4">
      <w:pPr>
        <w:textAlignment w:val="baseline"/>
        <w:rPr>
          <w:rFonts w:eastAsia="Times New Roman"/>
          <w:color w:val="000000"/>
          <w:spacing w:val="2"/>
          <w:lang w:val="en-GB"/>
        </w:rPr>
      </w:pPr>
      <w:r w:rsidRPr="00311159">
        <w:rPr>
          <w:rFonts w:eastAsia="Times New Roman"/>
          <w:color w:val="000000"/>
          <w:spacing w:val="2"/>
          <w:lang w:val="en-GB"/>
        </w:rPr>
        <w:t xml:space="preserve">There are also some legal entities that are not subject to any of the abovementioned regimes but rather to extrajudicial liquidations established in the specific laws that regulate their </w:t>
      </w:r>
      <w:r w:rsidRPr="00311159">
        <w:rPr>
          <w:rFonts w:eastAsia="Times New Roman"/>
          <w:color w:val="000000"/>
          <w:spacing w:val="2"/>
          <w:lang w:val="en-GB"/>
        </w:rPr>
        <w:lastRenderedPageBreak/>
        <w:t>respective activities, such as, for instance, the law that governs cooperatives’ activities.</w:t>
      </w:r>
    </w:p>
    <w:p w14:paraId="3FD7FA30" w14:textId="77777777" w:rsidR="00843086" w:rsidRPr="00311159" w:rsidRDefault="00843086" w:rsidP="00E22BA4">
      <w:pPr>
        <w:textAlignment w:val="baseline"/>
        <w:rPr>
          <w:rFonts w:eastAsia="Times New Roman"/>
          <w:color w:val="000000"/>
          <w:spacing w:val="2"/>
          <w:lang w:val="en-GB"/>
        </w:rPr>
      </w:pPr>
      <w:r w:rsidRPr="00311159">
        <w:rPr>
          <w:rFonts w:eastAsia="Times New Roman"/>
          <w:color w:val="000000"/>
          <w:spacing w:val="2"/>
          <w:lang w:val="en-GB"/>
        </w:rPr>
        <w:t xml:space="preserve">Finally, there are laws that regulate other matters but that produce profound effects on the activity or the reorganisation of companies in distress. Supplementary Law No. </w:t>
      </w:r>
      <w:r w:rsidRPr="00311159">
        <w:rPr>
          <w:rFonts w:eastAsia="Verdana"/>
          <w:color w:val="000000"/>
          <w:spacing w:val="2"/>
          <w:lang w:val="en-GB"/>
        </w:rPr>
        <w:t xml:space="preserve">118, </w:t>
      </w:r>
      <w:r w:rsidRPr="00311159">
        <w:rPr>
          <w:rFonts w:eastAsia="Times New Roman"/>
          <w:color w:val="000000"/>
          <w:spacing w:val="2"/>
          <w:lang w:val="en-GB"/>
        </w:rPr>
        <w:t>which amends and adds new provisions to the National Tax Code (Law No. 5,172 of 25 October 1966) so that it conforms with the BBL is a case in point.</w:t>
      </w:r>
    </w:p>
    <w:p w14:paraId="5BA5DF73"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Because of their importance, this work will address only the first two regimes mentioned above, contemplated by the BBL and by the Civil Code, with emphasis on the former.</w:t>
      </w:r>
    </w:p>
    <w:p w14:paraId="057A1AB8" w14:textId="5B7704C7" w:rsidR="00843086" w:rsidRPr="00310E7C" w:rsidRDefault="00843086" w:rsidP="00E22BA4">
      <w:pPr>
        <w:pStyle w:val="Titre1"/>
        <w:rPr>
          <w:b w:val="0"/>
          <w:caps/>
          <w:spacing w:val="-4"/>
          <w:sz w:val="24"/>
          <w:szCs w:val="24"/>
          <w:lang w:val="en-US"/>
        </w:rPr>
      </w:pPr>
      <w:r w:rsidRPr="00310E7C">
        <w:rPr>
          <w:caps/>
          <w:smallCaps w:val="0"/>
          <w:spacing w:val="-4"/>
          <w:sz w:val="24"/>
          <w:szCs w:val="24"/>
          <w:lang w:val="en-US"/>
        </w:rPr>
        <w:t>§</w:t>
      </w:r>
      <w:r w:rsidR="000A0C46" w:rsidRPr="00310E7C">
        <w:rPr>
          <w:caps/>
          <w:smallCaps w:val="0"/>
          <w:spacing w:val="-4"/>
          <w:sz w:val="24"/>
          <w:szCs w:val="24"/>
          <w:lang w:val="en-US"/>
        </w:rPr>
        <w:t xml:space="preserve"> </w:t>
      </w:r>
      <w:r w:rsidRPr="00310E7C">
        <w:rPr>
          <w:caps/>
          <w:smallCaps w:val="0"/>
          <w:spacing w:val="-4"/>
          <w:sz w:val="24"/>
          <w:szCs w:val="24"/>
          <w:lang w:val="en-US"/>
        </w:rPr>
        <w:t>1</w:t>
      </w:r>
      <w:r w:rsidR="002475C8" w:rsidRPr="00310E7C">
        <w:rPr>
          <w:caps/>
          <w:smallCaps w:val="0"/>
          <w:spacing w:val="-4"/>
          <w:sz w:val="24"/>
          <w:szCs w:val="24"/>
          <w:lang w:val="en-US"/>
        </w:rPr>
        <w:t xml:space="preserve"> </w:t>
      </w:r>
      <w:r w:rsidR="00310E7C">
        <w:rPr>
          <w:lang w:val="en-US"/>
        </w:rPr>
        <w:t>–</w:t>
      </w:r>
      <w:r w:rsidRPr="00310E7C" w:rsidDel="00BF508B">
        <w:rPr>
          <w:caps/>
          <w:smallCaps w:val="0"/>
          <w:spacing w:val="-4"/>
          <w:sz w:val="24"/>
          <w:szCs w:val="24"/>
          <w:lang w:val="en-US"/>
        </w:rPr>
        <w:t xml:space="preserve"> </w:t>
      </w:r>
      <w:r w:rsidRPr="00310E7C">
        <w:rPr>
          <w:caps/>
          <w:smallCaps w:val="0"/>
          <w:spacing w:val="-4"/>
          <w:sz w:val="24"/>
          <w:szCs w:val="24"/>
          <w:lang w:val="en-US"/>
        </w:rPr>
        <w:t>Security and enforcement of creditor rights in general</w:t>
      </w:r>
      <w:r w:rsidRPr="00311159">
        <w:rPr>
          <w:caps/>
          <w:color w:val="000000" w:themeColor="text1"/>
          <w:spacing w:val="-4"/>
          <w:sz w:val="24"/>
          <w:szCs w:val="24"/>
          <w:vertAlign w:val="superscript"/>
        </w:rPr>
        <w:footnoteReference w:id="10"/>
      </w:r>
    </w:p>
    <w:p w14:paraId="385FB373" w14:textId="77777777" w:rsidR="00843086" w:rsidRDefault="00843086" w:rsidP="00E22BA4">
      <w:pPr>
        <w:textAlignment w:val="baseline"/>
        <w:rPr>
          <w:rFonts w:eastAsia="Times New Roman"/>
          <w:color w:val="000000"/>
          <w:lang w:val="en-GB"/>
        </w:rPr>
      </w:pPr>
      <w:r w:rsidRPr="00311159">
        <w:rPr>
          <w:rFonts w:eastAsia="Times New Roman"/>
          <w:color w:val="000000"/>
          <w:lang w:val="en-GB"/>
        </w:rPr>
        <w:t>Brazilian law establishes the following types of security for immovable property:</w:t>
      </w:r>
    </w:p>
    <w:p w14:paraId="4A741BDE" w14:textId="45085FEC" w:rsidR="00843086" w:rsidRPr="00310E7C" w:rsidRDefault="00310E7C" w:rsidP="00310E7C">
      <w:pPr>
        <w:textAlignment w:val="baseline"/>
        <w:rPr>
          <w:rFonts w:eastAsia="Times New Roman"/>
          <w:color w:val="000000"/>
          <w:lang w:val="en-GB"/>
        </w:rPr>
      </w:pPr>
      <w:r>
        <w:rPr>
          <w:rFonts w:eastAsia="Times New Roman"/>
          <w:b/>
          <w:color w:val="000000"/>
          <w:lang w:val="en-GB"/>
        </w:rPr>
        <w:t xml:space="preserve">– </w:t>
      </w:r>
      <w:r w:rsidR="00843086" w:rsidRPr="00310E7C">
        <w:rPr>
          <w:rFonts w:eastAsia="Times New Roman"/>
          <w:b/>
          <w:color w:val="000000"/>
          <w:lang w:val="en-GB"/>
        </w:rPr>
        <w:t>Mortgage</w:t>
      </w:r>
      <w:r>
        <w:rPr>
          <w:rFonts w:eastAsia="Times New Roman"/>
          <w:b/>
          <w:color w:val="000000"/>
          <w:lang w:val="en-GB"/>
        </w:rPr>
        <w:t>:</w:t>
      </w:r>
      <w:r w:rsidRPr="00310E7C">
        <w:rPr>
          <w:rFonts w:eastAsia="Times New Roman"/>
          <w:b/>
          <w:color w:val="000000"/>
          <w:lang w:val="en-GB"/>
        </w:rPr>
        <w:t xml:space="preserve"> </w:t>
      </w:r>
      <w:r w:rsidR="00843086" w:rsidRPr="00310E7C">
        <w:rPr>
          <w:rFonts w:eastAsia="Times New Roman"/>
          <w:color w:val="000000"/>
          <w:lang w:val="en-GB"/>
        </w:rPr>
        <w:t>The debtor (or a thir</w:t>
      </w:r>
      <w:r w:rsidRPr="00310E7C">
        <w:rPr>
          <w:rFonts w:eastAsia="Times New Roman"/>
          <w:color w:val="000000"/>
          <w:lang w:val="en-GB"/>
        </w:rPr>
        <w:t xml:space="preserve">d party on its behalf) grants </w:t>
      </w:r>
      <w:r w:rsidR="00843086" w:rsidRPr="00310E7C">
        <w:rPr>
          <w:rFonts w:eastAsia="Times New Roman"/>
          <w:color w:val="000000"/>
          <w:lang w:val="en-GB"/>
        </w:rPr>
        <w:t xml:space="preserve">right </w:t>
      </w:r>
      <w:r w:rsidR="00843086" w:rsidRPr="00310E7C">
        <w:rPr>
          <w:rFonts w:eastAsia="Arial"/>
          <w:i/>
          <w:color w:val="000000"/>
          <w:lang w:val="en-GB"/>
        </w:rPr>
        <w:t xml:space="preserve">in rem </w:t>
      </w:r>
      <w:r w:rsidR="00843086" w:rsidRPr="00310E7C">
        <w:rPr>
          <w:rFonts w:eastAsia="Times New Roman"/>
          <w:color w:val="000000"/>
          <w:lang w:val="en-GB"/>
        </w:rPr>
        <w:t>to the creditor for immovable property. If the debt is not paid, the creditor can ask the court to sell the mortgaged property (at a public auction or by adjudication), and the proceeds are used to pay the amount owed.</w:t>
      </w:r>
    </w:p>
    <w:p w14:paraId="635DEC5D" w14:textId="4CC07177" w:rsidR="00843086" w:rsidRPr="00310E7C" w:rsidRDefault="00310E7C" w:rsidP="00310E7C">
      <w:pPr>
        <w:textAlignment w:val="baseline"/>
        <w:rPr>
          <w:rFonts w:eastAsia="Times New Roman"/>
          <w:color w:val="000000"/>
          <w:lang w:val="en-GB"/>
        </w:rPr>
      </w:pPr>
      <w:r>
        <w:rPr>
          <w:rFonts w:eastAsia="Times New Roman"/>
          <w:b/>
          <w:color w:val="000000"/>
          <w:lang w:val="en-GB"/>
        </w:rPr>
        <w:t xml:space="preserve">– </w:t>
      </w:r>
      <w:proofErr w:type="spellStart"/>
      <w:r w:rsidR="00843086" w:rsidRPr="00310E7C">
        <w:rPr>
          <w:rFonts w:eastAsia="Times New Roman"/>
          <w:b/>
          <w:color w:val="000000"/>
          <w:lang w:val="en-GB"/>
        </w:rPr>
        <w:t>Antichresis</w:t>
      </w:r>
      <w:proofErr w:type="spellEnd"/>
      <w:r w:rsidR="00843086" w:rsidRPr="00310E7C">
        <w:rPr>
          <w:rFonts w:eastAsia="Times New Roman"/>
          <w:b/>
          <w:color w:val="000000"/>
          <w:lang w:val="en-GB"/>
        </w:rPr>
        <w:t xml:space="preserve"> pledge</w:t>
      </w:r>
      <w:r w:rsidRPr="00D44CA8">
        <w:rPr>
          <w:rFonts w:eastAsia="Times New Roman"/>
          <w:b/>
          <w:color w:val="000000"/>
          <w:lang w:val="en-GB"/>
        </w:rPr>
        <w:t>:</w:t>
      </w:r>
      <w:r w:rsidR="00D44CA8">
        <w:rPr>
          <w:rFonts w:eastAsia="Times New Roman"/>
          <w:color w:val="000000"/>
          <w:lang w:val="en-GB"/>
        </w:rPr>
        <w:t xml:space="preserve"> </w:t>
      </w:r>
      <w:r w:rsidR="00843086" w:rsidRPr="00310E7C">
        <w:rPr>
          <w:rFonts w:eastAsia="Times New Roman"/>
          <w:color w:val="000000"/>
          <w:lang w:val="en-GB"/>
        </w:rPr>
        <w:t>With this specific type of pledge, the debtor transfers possession of income-earning property to the creditor, who can retain it and receive any income from it until the debt is discharged. The property can belong to either the debtor or a third party.</w:t>
      </w:r>
    </w:p>
    <w:p w14:paraId="6B8C088A" w14:textId="77777777" w:rsidR="00311159" w:rsidRPr="00310E7C" w:rsidRDefault="00843086" w:rsidP="00310E7C">
      <w:pPr>
        <w:textAlignment w:val="baseline"/>
        <w:rPr>
          <w:rFonts w:eastAsia="Times New Roman"/>
          <w:color w:val="000000"/>
          <w:lang w:val="en-GB"/>
        </w:rPr>
      </w:pPr>
      <w:r w:rsidRPr="00310E7C">
        <w:rPr>
          <w:rFonts w:eastAsia="Times New Roman"/>
          <w:color w:val="000000"/>
          <w:lang w:val="en-GB"/>
        </w:rPr>
        <w:t>As for movable property, a pledge is the type of security prescribed by law.</w:t>
      </w:r>
    </w:p>
    <w:p w14:paraId="5225DCF8" w14:textId="6FCAF653" w:rsidR="00311159" w:rsidRPr="00310E7C" w:rsidRDefault="00310E7C" w:rsidP="00310E7C">
      <w:pPr>
        <w:textAlignment w:val="baseline"/>
        <w:rPr>
          <w:rFonts w:eastAsia="Times New Roman"/>
          <w:color w:val="000000"/>
          <w:lang w:val="en-GB"/>
        </w:rPr>
      </w:pPr>
      <w:r>
        <w:rPr>
          <w:rFonts w:eastAsia="Times New Roman"/>
          <w:b/>
          <w:color w:val="000000"/>
          <w:lang w:val="en-GB"/>
        </w:rPr>
        <w:t xml:space="preserve">– </w:t>
      </w:r>
      <w:r w:rsidRPr="00310E7C">
        <w:rPr>
          <w:rFonts w:eastAsia="Times New Roman"/>
          <w:b/>
          <w:color w:val="000000"/>
          <w:lang w:val="en-GB"/>
        </w:rPr>
        <w:t>Pledg</w:t>
      </w:r>
      <w:r w:rsidRPr="00D44CA8">
        <w:rPr>
          <w:rFonts w:eastAsia="Times New Roman"/>
          <w:b/>
          <w:color w:val="000000"/>
          <w:lang w:val="en-GB"/>
        </w:rPr>
        <w:t>e:</w:t>
      </w:r>
      <w:r>
        <w:rPr>
          <w:rFonts w:eastAsia="Times New Roman"/>
          <w:color w:val="000000"/>
          <w:lang w:val="en-GB"/>
        </w:rPr>
        <w:t xml:space="preserve"> </w:t>
      </w:r>
      <w:r w:rsidR="00843086" w:rsidRPr="00310E7C">
        <w:rPr>
          <w:rFonts w:eastAsia="Times New Roman"/>
          <w:color w:val="000000"/>
          <w:lang w:val="en-GB"/>
        </w:rPr>
        <w:t>Movable property is transferred by a debtor (or a third party on its behalf) to the creditor (or its representative) as security for a debt. Stocks, rights and credit instruments (such as trade acceptance bills and promissory notes) can also be pledged.</w:t>
      </w:r>
    </w:p>
    <w:p w14:paraId="111AD401" w14:textId="119AF375" w:rsidR="00843086" w:rsidRPr="00310E7C" w:rsidRDefault="00843086" w:rsidP="00310E7C">
      <w:pPr>
        <w:textAlignment w:val="baseline"/>
        <w:rPr>
          <w:rFonts w:eastAsia="Times New Roman"/>
          <w:color w:val="000000"/>
          <w:lang w:val="en-GB"/>
        </w:rPr>
      </w:pPr>
      <w:r w:rsidRPr="00310E7C">
        <w:rPr>
          <w:rFonts w:eastAsia="Times New Roman"/>
          <w:color w:val="000000"/>
          <w:lang w:val="en-GB"/>
        </w:rPr>
        <w:t>The types of security above entitle their holders to be treated as creditors guaranteed by a security interest in the event of judicial or extrajudicial reorganisation or even bankruptcy of the debtor.</w:t>
      </w:r>
    </w:p>
    <w:p w14:paraId="4D43DE37" w14:textId="76EEF4F2" w:rsidR="00843086" w:rsidRPr="00310E7C" w:rsidRDefault="00310E7C" w:rsidP="00310E7C">
      <w:pPr>
        <w:textAlignment w:val="baseline"/>
        <w:rPr>
          <w:rFonts w:eastAsia="Times New Roman"/>
          <w:color w:val="000000"/>
          <w:lang w:val="en-GB"/>
        </w:rPr>
      </w:pPr>
      <w:r>
        <w:rPr>
          <w:rFonts w:eastAsia="Times New Roman"/>
          <w:b/>
          <w:color w:val="000000"/>
          <w:lang w:val="en-GB"/>
        </w:rPr>
        <w:t xml:space="preserve">– </w:t>
      </w:r>
      <w:r w:rsidRPr="00310E7C">
        <w:rPr>
          <w:rFonts w:eastAsia="Times New Roman"/>
          <w:b/>
          <w:color w:val="000000"/>
          <w:lang w:val="en-GB"/>
        </w:rPr>
        <w:t>Fiduciary Lien</w:t>
      </w:r>
      <w:r w:rsidRPr="00D44CA8">
        <w:rPr>
          <w:rFonts w:eastAsia="Times New Roman"/>
          <w:b/>
          <w:color w:val="000000"/>
          <w:lang w:val="en-GB"/>
        </w:rPr>
        <w:t>:</w:t>
      </w:r>
      <w:r>
        <w:rPr>
          <w:rFonts w:eastAsia="Times New Roman"/>
          <w:color w:val="000000"/>
          <w:lang w:val="en-GB"/>
        </w:rPr>
        <w:t xml:space="preserve"> </w:t>
      </w:r>
      <w:r w:rsidR="00843086" w:rsidRPr="00310E7C">
        <w:rPr>
          <w:rFonts w:eastAsia="Times New Roman"/>
          <w:color w:val="000000"/>
          <w:lang w:val="en-GB"/>
        </w:rPr>
        <w:t>In addition to these types of security, Brazilian law grants certain privileges to the creditor holding a fiduciary lien over movable or immovable assets or a fiduciary lien over rights to movable assets, particularly negotiable instruments. The claims held by these creditors are not subject to judicial or extrajudicial reorganisation or to bankruptcy of the debtor because the respective creditors have the right to claim return of the secured assets to satisfy their credits through sale of the respective security.</w:t>
      </w:r>
    </w:p>
    <w:p w14:paraId="3FB0B222"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 xml:space="preserve">In a fiduciary lien, title to movable and immovable property is transferred to the creditor. The debtor can retain physical possession of the property and legal title is returned if and when it pays the debt in full, as agreed in the contract. Rights and credit </w:t>
      </w:r>
      <w:r w:rsidRPr="00311159">
        <w:rPr>
          <w:rFonts w:eastAsia="Times New Roman"/>
          <w:color w:val="000000"/>
          <w:lang w:val="en-GB"/>
        </w:rPr>
        <w:lastRenderedPageBreak/>
        <w:t>instruments can also be subject to a fiduciary lien in transactions carried out under the National Financial System. This type of security is also available for immovable property.</w:t>
      </w:r>
    </w:p>
    <w:p w14:paraId="78AE8722" w14:textId="77777777" w:rsidR="00843086" w:rsidRPr="00311159" w:rsidRDefault="00843086" w:rsidP="00E22BA4">
      <w:pPr>
        <w:tabs>
          <w:tab w:val="left" w:pos="720"/>
        </w:tabs>
        <w:textAlignment w:val="baseline"/>
        <w:rPr>
          <w:rFonts w:eastAsia="Times New Roman"/>
          <w:color w:val="000000"/>
          <w:lang w:val="en-GB"/>
        </w:rPr>
      </w:pPr>
    </w:p>
    <w:p w14:paraId="5A8319D0" w14:textId="7A1EA2E8" w:rsidR="00843086" w:rsidRPr="00310E7C" w:rsidRDefault="002475C8" w:rsidP="00E22BA4">
      <w:pPr>
        <w:tabs>
          <w:tab w:val="left" w:pos="993"/>
        </w:tabs>
        <w:textAlignment w:val="baseline"/>
        <w:rPr>
          <w:rFonts w:eastAsiaTheme="majorEastAsia" w:cstheme="majorBidi"/>
          <w:b/>
          <w:caps/>
          <w:color w:val="003294"/>
          <w:spacing w:val="-4"/>
          <w:kern w:val="28"/>
        </w:rPr>
      </w:pPr>
      <w:r w:rsidRPr="00310E7C">
        <w:rPr>
          <w:rFonts w:eastAsiaTheme="majorEastAsia" w:cstheme="majorBidi"/>
          <w:b/>
          <w:caps/>
          <w:color w:val="003294"/>
          <w:spacing w:val="-4"/>
          <w:kern w:val="28"/>
        </w:rPr>
        <w:t>§</w:t>
      </w:r>
      <w:r w:rsidR="000A0C46" w:rsidRPr="00310E7C">
        <w:rPr>
          <w:rFonts w:eastAsiaTheme="majorEastAsia" w:cstheme="majorBidi"/>
          <w:b/>
          <w:caps/>
          <w:color w:val="003294"/>
          <w:spacing w:val="-4"/>
          <w:kern w:val="28"/>
        </w:rPr>
        <w:t xml:space="preserve"> </w:t>
      </w:r>
      <w:r w:rsidRPr="00310E7C">
        <w:rPr>
          <w:rFonts w:eastAsiaTheme="majorEastAsia" w:cstheme="majorBidi"/>
          <w:b/>
          <w:caps/>
          <w:color w:val="003294"/>
          <w:spacing w:val="-4"/>
          <w:kern w:val="28"/>
        </w:rPr>
        <w:t>2</w:t>
      </w:r>
      <w:r w:rsidR="000A0C46" w:rsidRPr="00310E7C">
        <w:rPr>
          <w:rFonts w:eastAsiaTheme="majorEastAsia" w:cstheme="majorBidi"/>
          <w:b/>
          <w:caps/>
          <w:color w:val="003294"/>
          <w:spacing w:val="-4"/>
          <w:kern w:val="28"/>
        </w:rPr>
        <w:t xml:space="preserve"> </w:t>
      </w:r>
      <w:r w:rsidR="00310E7C">
        <w:t>–</w:t>
      </w:r>
      <w:r w:rsidR="000A0C46" w:rsidRPr="00310E7C">
        <w:rPr>
          <w:rFonts w:eastAsiaTheme="majorEastAsia" w:cstheme="majorBidi"/>
          <w:b/>
          <w:caps/>
          <w:color w:val="003294"/>
          <w:spacing w:val="-4"/>
          <w:kern w:val="28"/>
        </w:rPr>
        <w:t xml:space="preserve"> </w:t>
      </w:r>
      <w:r w:rsidR="00843086" w:rsidRPr="00310E7C">
        <w:rPr>
          <w:rFonts w:eastAsiaTheme="majorEastAsia" w:cstheme="majorBidi"/>
          <w:b/>
          <w:caps/>
          <w:color w:val="003294"/>
          <w:spacing w:val="-4"/>
          <w:kern w:val="28"/>
        </w:rPr>
        <w:t>Regulatory framework</w:t>
      </w:r>
      <w:r w:rsidR="00843086" w:rsidRPr="00311159">
        <w:rPr>
          <w:rFonts w:eastAsiaTheme="majorEastAsia" w:cstheme="majorBidi"/>
          <w:caps/>
          <w:color w:val="000000" w:themeColor="text1"/>
          <w:spacing w:val="-4"/>
          <w:kern w:val="28"/>
          <w:vertAlign w:val="superscript"/>
          <w:lang w:val="fr-FR"/>
        </w:rPr>
        <w:footnoteReference w:id="11"/>
      </w:r>
    </w:p>
    <w:p w14:paraId="78DE90D9" w14:textId="09AF39F8" w:rsidR="00560417" w:rsidRPr="003A685D" w:rsidRDefault="00843086" w:rsidP="00E22BA4">
      <w:pPr>
        <w:spacing w:before="327"/>
        <w:textAlignment w:val="baseline"/>
        <w:rPr>
          <w:rFonts w:eastAsia="Times New Roman"/>
          <w:color w:val="000000"/>
          <w:lang w:val="en-GB"/>
        </w:rPr>
      </w:pPr>
      <w:r w:rsidRPr="00311159">
        <w:rPr>
          <w:rFonts w:eastAsia="Times New Roman"/>
          <w:color w:val="000000"/>
          <w:lang w:val="en-GB"/>
        </w:rPr>
        <w:t>Insolvency proceedings, especially those governed by the BBL, as well as civil insolvency proceedings, fall under the exclusive authority of the state courts. Each Brazilian state has its own state courts and, as a rule, most Brazilian cities have state courts. Judges in small judicial districts rule over all types of disputes, including those involving family law, criminal law and insolvency. In larger judicial districts, where there are more judges, there is usually a certain degree of specialisation, with judges being granted authority to rule over more specific matters. However, very few judicial districts have judges specialising in insolvency matters (e.g. Rio de Janeiro) and few appellate courts (which decide appeals filed against first-instance decisions) have specialised chambers to review insolvency matters (e.g.  Sao Paulo).</w:t>
      </w:r>
    </w:p>
    <w:p w14:paraId="053E6774" w14:textId="7E901766"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Thus, considering that, as a rule, the authority to process an insolvency case falls on the court in the judicial district where the main establishment of the debtor is located or in his domicile (in cases dealing with consumer insolvency), most insolvency cases are decided by judges not specialised in insolvency matters.</w:t>
      </w:r>
    </w:p>
    <w:p w14:paraId="771169DC" w14:textId="224FA288"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There is also no specific regulation for insolvency professionals in Brazil. It is incumbent on the judge to appoint the trustee and set his fees, subject to certain criteria prescribed by law. Under the BBL, the trustee is not appointed by one of the largest creditors, as happens in civil insolvency proceedings (and in bankruptcy proceedings governed by the repealed Bankruptcy Law). The current rule, as stipulated in the BBL, determines that the trustee must be a reputable professional, preferably a lawyer, economist, business manager or accountant, or a specialised legal entity and will serve as the legal agent of the debtor’s estate.</w:t>
      </w:r>
    </w:p>
    <w:p w14:paraId="721704FF" w14:textId="77777777" w:rsidR="00843086" w:rsidRPr="00311159" w:rsidRDefault="00843086" w:rsidP="00E22BA4">
      <w:pPr>
        <w:spacing w:before="6"/>
        <w:textAlignment w:val="baseline"/>
        <w:rPr>
          <w:rFonts w:eastAsia="Times New Roman"/>
          <w:color w:val="000000"/>
          <w:lang w:val="en-GB"/>
        </w:rPr>
      </w:pPr>
      <w:r w:rsidRPr="00311159">
        <w:rPr>
          <w:rFonts w:eastAsia="Times New Roman"/>
          <w:color w:val="000000"/>
          <w:lang w:val="en-GB"/>
        </w:rPr>
        <w:t>In the judicial reorganisation proceedings governed by the BBL, the trustee acts as a mere inspector of the debtor’s activity, not interfering in any way with the decisions relating to the debtor’s management, regardless of its notable influence in the procedure. In bankruptcy and civil insolvency, however, the trustee is responsible for managing the assets and defending the interests of the bankrupt.</w:t>
      </w:r>
    </w:p>
    <w:p w14:paraId="78279003"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 xml:space="preserve">The judge reviewing the cases governed by the BBL or civil insolvency cases does not interfere with the engagement of other </w:t>
      </w:r>
      <w:r w:rsidRPr="00311159">
        <w:rPr>
          <w:rFonts w:eastAsia="Times New Roman"/>
          <w:color w:val="000000"/>
          <w:lang w:val="en-GB"/>
        </w:rPr>
        <w:lastRenderedPageBreak/>
        <w:t>professionals involved in the proceeding, whether lawyers and/or financial advisors of the debtor or advisors of the creditors. On the other hand, the creditors must pay the expenses of their representatives, including expenses relating to the creditors’ committee.</w:t>
      </w:r>
    </w:p>
    <w:p w14:paraId="20CCBA27" w14:textId="70B1875C" w:rsidR="00843086" w:rsidRPr="00310E7C" w:rsidRDefault="00B05950" w:rsidP="00E22BA4">
      <w:pPr>
        <w:pStyle w:val="Titre1"/>
        <w:rPr>
          <w:lang w:val="en-US"/>
        </w:rPr>
      </w:pPr>
      <w:r w:rsidRPr="00310E7C">
        <w:rPr>
          <w:lang w:val="en-US"/>
        </w:rPr>
        <w:t xml:space="preserve">§ 3 </w:t>
      </w:r>
      <w:r w:rsidR="00310E7C">
        <w:rPr>
          <w:lang w:val="en-US"/>
        </w:rPr>
        <w:t>–</w:t>
      </w:r>
      <w:r w:rsidR="002475C8" w:rsidRPr="00310E7C">
        <w:rPr>
          <w:lang w:val="en-US"/>
        </w:rPr>
        <w:t xml:space="preserve"> </w:t>
      </w:r>
      <w:r w:rsidR="00843086" w:rsidRPr="00310E7C">
        <w:rPr>
          <w:lang w:val="en-US"/>
        </w:rPr>
        <w:t>Consumer bankruptcy and/or non-business insolvency in Brazil</w:t>
      </w:r>
      <w:r w:rsidR="00843086" w:rsidRPr="00B05950">
        <w:rPr>
          <w:vertAlign w:val="superscript"/>
        </w:rPr>
        <w:footnoteReference w:id="12"/>
      </w:r>
    </w:p>
    <w:p w14:paraId="690E35C5"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As noted above, the insolvency of natural persons (which includes consumers) or non-business associations is ruled by the CC, and the rules of insolvency procedure are set forth in the CPC. These rules only apply to natural perso</w:t>
      </w:r>
      <w:r w:rsidRPr="00B05950">
        <w:rPr>
          <w:rFonts w:eastAsia="Times New Roman"/>
          <w:color w:val="000000"/>
          <w:lang w:val="en-GB"/>
        </w:rPr>
        <w:t>ns and to non-business entities; merchants, business companies or company insolvency events are governed by specific legislation (“BBL”).</w:t>
      </w:r>
    </w:p>
    <w:p w14:paraId="6131AAF8"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An individua</w:t>
      </w:r>
      <w:r w:rsidRPr="00B05950">
        <w:rPr>
          <w:rFonts w:eastAsia="Times New Roman"/>
          <w:color w:val="000000"/>
          <w:lang w:val="en-GB"/>
        </w:rPr>
        <w:t xml:space="preserve">l </w:t>
      </w:r>
      <w:r w:rsidRPr="00B05950">
        <w:rPr>
          <w:rFonts w:eastAsia="Bookman Old Style"/>
          <w:color w:val="000000"/>
          <w:lang w:val="en-GB"/>
        </w:rPr>
        <w:t>(“Debtor”)</w:t>
      </w:r>
      <w:r w:rsidRPr="00B05950">
        <w:rPr>
          <w:rFonts w:eastAsia="Times New Roman"/>
          <w:color w:val="000000"/>
          <w:lang w:val="en-GB"/>
        </w:rPr>
        <w:t xml:space="preserve"> becomes insolvent when his debts are greater than his assets. Differently from the BBL, where insolvency is held to occur when the business entity or merchant does not meet its payments obligatio</w:t>
      </w:r>
      <w:r w:rsidRPr="00311159">
        <w:rPr>
          <w:rFonts w:eastAsia="Times New Roman"/>
          <w:color w:val="000000"/>
          <w:lang w:val="en-GB"/>
        </w:rPr>
        <w:t xml:space="preserve">ns as and when due, the insolvency of natural persons follows an economic concept where the assets </w:t>
      </w:r>
      <w:r w:rsidRPr="00311159">
        <w:rPr>
          <w:rFonts w:eastAsia="Bookman Old Style"/>
          <w:i/>
          <w:color w:val="000000"/>
          <w:lang w:val="en-GB"/>
        </w:rPr>
        <w:t xml:space="preserve">vs. </w:t>
      </w:r>
      <w:r w:rsidRPr="00311159">
        <w:rPr>
          <w:rFonts w:eastAsia="Times New Roman"/>
          <w:color w:val="000000"/>
          <w:lang w:val="en-GB"/>
        </w:rPr>
        <w:t>debts relation is key to determine whether a Debtor is insolvent.</w:t>
      </w:r>
    </w:p>
    <w:p w14:paraId="3B98991D" w14:textId="7B088637" w:rsidR="00843086" w:rsidRPr="00311159" w:rsidRDefault="00843086" w:rsidP="00E22BA4">
      <w:pPr>
        <w:textAlignment w:val="baseline"/>
        <w:rPr>
          <w:rFonts w:eastAsia="Times New Roman"/>
          <w:color w:val="000000"/>
          <w:lang w:val="en-GB"/>
        </w:rPr>
      </w:pPr>
      <w:r w:rsidRPr="00311159">
        <w:rPr>
          <w:rFonts w:eastAsia="Times New Roman"/>
          <w:color w:val="000000"/>
          <w:spacing w:val="2"/>
          <w:lang w:val="en-GB"/>
        </w:rPr>
        <w:t>The law is lacking in effective rescue mechanisms for the debtor, which is required to liquidate its assets to pay its liabilities. The only rescue remedy available to the insolvent debtor is weak and of almost no practical use, as it requires the agreement of all creditors and may only be triggered at a certain point of the insolvency proceeding, a phase that, in practice, occurs many years after the insolvency is adjudicated.</w:t>
      </w:r>
    </w:p>
    <w:p w14:paraId="6836CA38"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 xml:space="preserve">For the Debtor and his creditors, the effects of insolvency are similar to those in the liquidation of a business entity. In fact, a declaration of insolvency triggers the composition among all creditors on equal condition </w:t>
      </w:r>
      <w:r w:rsidRPr="00311159">
        <w:rPr>
          <w:rFonts w:eastAsia="Bookman Old Style"/>
          <w:i/>
          <w:color w:val="000000"/>
          <w:lang w:val="en-GB"/>
        </w:rPr>
        <w:t xml:space="preserve">(par </w:t>
      </w:r>
      <w:proofErr w:type="spellStart"/>
      <w:r w:rsidRPr="00311159">
        <w:rPr>
          <w:rFonts w:eastAsia="Bookman Old Style"/>
          <w:i/>
          <w:color w:val="000000"/>
          <w:lang w:val="en-GB"/>
        </w:rPr>
        <w:t>conditio</w:t>
      </w:r>
      <w:proofErr w:type="spellEnd"/>
      <w:r w:rsidRPr="00311159">
        <w:rPr>
          <w:rFonts w:eastAsia="Bookman Old Style"/>
          <w:i/>
          <w:color w:val="000000"/>
          <w:lang w:val="en-GB"/>
        </w:rPr>
        <w:t xml:space="preserve"> </w:t>
      </w:r>
      <w:proofErr w:type="spellStart"/>
      <w:r w:rsidRPr="00311159">
        <w:rPr>
          <w:rFonts w:eastAsia="Bookman Old Style"/>
          <w:i/>
          <w:color w:val="000000"/>
          <w:lang w:val="en-GB"/>
        </w:rPr>
        <w:t>creditorum</w:t>
      </w:r>
      <w:proofErr w:type="spellEnd"/>
      <w:r w:rsidRPr="00311159">
        <w:rPr>
          <w:rFonts w:eastAsia="Bookman Old Style"/>
          <w:i/>
          <w:color w:val="000000"/>
          <w:lang w:val="en-GB"/>
        </w:rPr>
        <w:t xml:space="preserve">), </w:t>
      </w:r>
      <w:r w:rsidRPr="00311159">
        <w:rPr>
          <w:rFonts w:eastAsia="Times New Roman"/>
          <w:color w:val="000000"/>
          <w:lang w:val="en-GB"/>
        </w:rPr>
        <w:t xml:space="preserve">observing any distinctions in </w:t>
      </w:r>
      <w:r w:rsidRPr="00B05950">
        <w:rPr>
          <w:rFonts w:eastAsia="Times New Roman"/>
          <w:color w:val="000000"/>
          <w:lang w:val="en-GB"/>
        </w:rPr>
        <w:t>terms of credit quality. Upon declaration of insolvency, a Debtor’s assets and obligations make up the insolvency estate (“Estate”). The declaration of insolvency also causes an acceler</w:t>
      </w:r>
      <w:r w:rsidRPr="00311159">
        <w:rPr>
          <w:rFonts w:eastAsia="Times New Roman"/>
          <w:color w:val="000000"/>
          <w:lang w:val="en-GB"/>
        </w:rPr>
        <w:t>ation of the Debtors’ obligations, and the Debtor is removed from management of his own assets until the Estate is entirely paid. All of the Debtors’ assets</w:t>
      </w:r>
      <w:r w:rsidRPr="00311159">
        <w:rPr>
          <w:rStyle w:val="Marquenotebasdepage"/>
          <w:rFonts w:eastAsia="Times New Roman"/>
          <w:color w:val="000000"/>
          <w:lang w:val="en-GB"/>
        </w:rPr>
        <w:footnoteReference w:id="13"/>
      </w:r>
      <w:r w:rsidRPr="00311159">
        <w:rPr>
          <w:rFonts w:eastAsia="Times New Roman"/>
          <w:color w:val="000000"/>
          <w:lang w:val="en-GB"/>
        </w:rPr>
        <w:t xml:space="preserve"> are collected and liquidated, and the proceeds are earmarked for payment of the Estate.</w:t>
      </w:r>
    </w:p>
    <w:p w14:paraId="18F8BAA3"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 xml:space="preserve">The insolvency court appoints a trustee from among the major creditors of the </w:t>
      </w:r>
      <w:r w:rsidRPr="00B05950">
        <w:rPr>
          <w:rFonts w:eastAsia="Times New Roman"/>
          <w:color w:val="000000"/>
          <w:lang w:val="en-GB"/>
        </w:rPr>
        <w:t>Estate (“Trustee”). It is incumbent on the Trustee, acting under th</w:t>
      </w:r>
      <w:r w:rsidRPr="00311159">
        <w:rPr>
          <w:rFonts w:eastAsia="Times New Roman"/>
          <w:color w:val="000000"/>
          <w:lang w:val="en-GB"/>
        </w:rPr>
        <w:t xml:space="preserve">e insolvency court supervision: to manage, gather and sell Estate assets; to represents the Estate in </w:t>
      </w:r>
      <w:r w:rsidRPr="00311159">
        <w:rPr>
          <w:rFonts w:eastAsia="Times New Roman"/>
          <w:color w:val="000000"/>
          <w:lang w:val="en-GB"/>
        </w:rPr>
        <w:lastRenderedPageBreak/>
        <w:t>any type of judicial or extrajudicial proceeding; to adopt all measures necessary to defend the Estate’s interests; and to settle Estate claims. The Trustee is entitled to fees as determined by the insolvency court. The Trustee must use the proceeds of asset liquidation to settle all of the Estate obligations.</w:t>
      </w:r>
    </w:p>
    <w:p w14:paraId="191CAF19"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 Estate comprises all the credits held against the Debtor, and the ranking of creditors is quite similar to the ranking established by the BBL – except for the absence of a cap on the privilege given to labour credits, and for the fact that tax credits rank above secured credits (please see item 6.1.3 for the treatment given to creditors under the BBL). If the proceeds available at the Estate for distribution to a certain class of creditors are insufficient to fully serve and pay all claims of that specific class, these funds must be proportionally distributed and allocated among the creditors according to the value of their claims in the respective class.</w:t>
      </w:r>
    </w:p>
    <w:p w14:paraId="7C76082D"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As a rule, the Debtor is discharged only upon settlement of all claims against the Estate. If the asset liquidation proceeds are insufficient to settle the entire Estate, the Debtor will remain liable for outstanding debts during five years from the liquidation closing decision. During this period, any asset acquired by the Debtor will be part of the Estate and liquidated to pay the remaining creditors.</w:t>
      </w:r>
    </w:p>
    <w:p w14:paraId="5724AC18"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In short, the law does not provide the debtor with efficient rescue remedies or with a fresh start. As a result, the debtor ends up being placed on the margins of society, seeking informal jobs (if a natural person) that allow him not to declare his income, having no access to financing instruments, and no longer acquiring assets in his name. On the other hand, because the outcome of the civil insolvency proceeding usually generates no or practically no percentage of credit recovery for creditors, they end up by opting against initiating a civil insolvency proceeding</w:t>
      </w:r>
    </w:p>
    <w:p w14:paraId="68B55481" w14:textId="77777777" w:rsidR="00B05950" w:rsidRDefault="00843086" w:rsidP="00E22BA4">
      <w:pPr>
        <w:ind w:right="72"/>
        <w:textAlignment w:val="baseline"/>
        <w:rPr>
          <w:rFonts w:eastAsia="Times New Roman"/>
          <w:color w:val="000000"/>
          <w:lang w:val="en-GB"/>
        </w:rPr>
      </w:pPr>
      <w:r w:rsidRPr="00311159">
        <w:rPr>
          <w:rFonts w:eastAsia="Times New Roman"/>
          <w:color w:val="000000"/>
          <w:lang w:val="en-GB"/>
        </w:rPr>
        <w:t>against a debtor when there are no assets to be pledged to satisfy the individual enforcement carried out by the respective creditor. These factors make of civil insolvency a remedy practically not used in Brazil.</w:t>
      </w:r>
    </w:p>
    <w:p w14:paraId="5CEC0D35" w14:textId="072D8F3F" w:rsidR="00B05950" w:rsidRPr="00B05950" w:rsidRDefault="00B05950" w:rsidP="00310E7C">
      <w:pPr>
        <w:pStyle w:val="Titre1"/>
        <w:rPr>
          <w:rFonts w:eastAsia="Times New Roman" w:cs="Times New Roman"/>
          <w:color w:val="000000"/>
          <w:spacing w:val="0"/>
          <w:kern w:val="0"/>
          <w:lang w:val="en-GB"/>
        </w:rPr>
      </w:pPr>
      <w:r w:rsidRPr="00310E7C">
        <w:rPr>
          <w:lang w:val="en-US"/>
        </w:rPr>
        <w:t xml:space="preserve">§ 4 </w:t>
      </w:r>
      <w:r w:rsidR="00310E7C">
        <w:rPr>
          <w:lang w:val="en-US"/>
        </w:rPr>
        <w:t xml:space="preserve">– </w:t>
      </w:r>
      <w:r w:rsidR="00843086" w:rsidRPr="00310E7C">
        <w:rPr>
          <w:lang w:val="en-US"/>
        </w:rPr>
        <w:t>Corporate</w:t>
      </w:r>
      <w:r w:rsidR="002475C8" w:rsidRPr="00310E7C">
        <w:rPr>
          <w:lang w:val="en-US"/>
        </w:rPr>
        <w:t xml:space="preserve"> </w:t>
      </w:r>
      <w:r w:rsidR="00843086" w:rsidRPr="00310E7C">
        <w:rPr>
          <w:lang w:val="en-US"/>
        </w:rPr>
        <w:t>bankruptcy (business insolvency)</w:t>
      </w:r>
    </w:p>
    <w:p w14:paraId="26EA9BB2" w14:textId="68DC8352" w:rsidR="00B05950" w:rsidRDefault="00843086" w:rsidP="00E22BA4">
      <w:pPr>
        <w:textAlignment w:val="baseline"/>
        <w:rPr>
          <w:rFonts w:eastAsia="Times New Roman"/>
          <w:color w:val="000000"/>
          <w:lang w:val="en-GB"/>
        </w:rPr>
      </w:pPr>
      <w:r w:rsidRPr="00311159">
        <w:rPr>
          <w:rFonts w:eastAsia="Times New Roman"/>
          <w:color w:val="000000"/>
          <w:lang w:val="en-GB"/>
        </w:rPr>
        <w:t xml:space="preserve">The BBL offers two alternatives for insolvent companies to obtain court confirmation of reorganisation plans negotiated directly with their creditors, via </w:t>
      </w:r>
      <w:proofErr w:type="spellStart"/>
      <w:r w:rsidRPr="00311159">
        <w:rPr>
          <w:rFonts w:eastAsia="Times New Roman"/>
          <w:i/>
          <w:color w:val="000000"/>
          <w:lang w:val="en-GB"/>
        </w:rPr>
        <w:t>recuperação</w:t>
      </w:r>
      <w:proofErr w:type="spellEnd"/>
      <w:r w:rsidRPr="00311159">
        <w:rPr>
          <w:rFonts w:eastAsia="Times New Roman"/>
          <w:i/>
          <w:color w:val="000000"/>
          <w:lang w:val="en-GB"/>
        </w:rPr>
        <w:t xml:space="preserve"> judicial </w:t>
      </w:r>
      <w:r w:rsidRPr="00311159">
        <w:rPr>
          <w:rFonts w:eastAsia="Times New Roman"/>
          <w:color w:val="000000"/>
          <w:lang w:val="en-GB"/>
        </w:rPr>
        <w:t>(judicial reorganisation), which is somehow similar to the Chapter 11 protection of the United</w:t>
      </w:r>
      <w:r w:rsidRPr="00183E99">
        <w:rPr>
          <w:rFonts w:eastAsia="Times New Roman"/>
          <w:color w:val="000000"/>
          <w:lang w:val="en-GB"/>
        </w:rPr>
        <w:t xml:space="preserve"> States Bankruptcy Code (“US Bankruptcy Code”) </w:t>
      </w:r>
      <w:r w:rsidRPr="00311159">
        <w:rPr>
          <w:rFonts w:eastAsia="Times New Roman"/>
          <w:color w:val="000000"/>
          <w:lang w:val="en-GB"/>
        </w:rPr>
        <w:t xml:space="preserve">and </w:t>
      </w:r>
      <w:proofErr w:type="spellStart"/>
      <w:r w:rsidRPr="00311159">
        <w:rPr>
          <w:rFonts w:eastAsia="Times New Roman"/>
          <w:i/>
          <w:color w:val="000000"/>
          <w:lang w:val="en-GB"/>
        </w:rPr>
        <w:t>recuperação</w:t>
      </w:r>
      <w:proofErr w:type="spellEnd"/>
      <w:r w:rsidRPr="00311159">
        <w:rPr>
          <w:rFonts w:eastAsia="Times New Roman"/>
          <w:i/>
          <w:color w:val="000000"/>
          <w:lang w:val="en-GB"/>
        </w:rPr>
        <w:t xml:space="preserve"> extrajudicial </w:t>
      </w:r>
      <w:r w:rsidRPr="00311159">
        <w:rPr>
          <w:rFonts w:eastAsia="Times New Roman"/>
          <w:color w:val="000000"/>
          <w:lang w:val="en-GB"/>
        </w:rPr>
        <w:t xml:space="preserve">(out-of-court reorganisation). The BBL also preserves a revised </w:t>
      </w:r>
      <w:proofErr w:type="spellStart"/>
      <w:r w:rsidRPr="00311159">
        <w:rPr>
          <w:rFonts w:eastAsia="Times New Roman"/>
          <w:i/>
          <w:color w:val="000000"/>
          <w:lang w:val="en-GB"/>
        </w:rPr>
        <w:t>falência</w:t>
      </w:r>
      <w:proofErr w:type="spellEnd"/>
      <w:r w:rsidRPr="00311159">
        <w:rPr>
          <w:rFonts w:eastAsia="Times New Roman"/>
          <w:i/>
          <w:color w:val="000000"/>
          <w:lang w:val="en-GB"/>
        </w:rPr>
        <w:t xml:space="preserve"> </w:t>
      </w:r>
      <w:r w:rsidRPr="00311159">
        <w:rPr>
          <w:rFonts w:eastAsia="Times New Roman"/>
          <w:color w:val="000000"/>
          <w:lang w:val="en-GB"/>
        </w:rPr>
        <w:t>(bankruptcy liquidation), which is analogous to Chapter 7 proceeding under the United States Bankruptcy Code.</w:t>
      </w:r>
    </w:p>
    <w:p w14:paraId="3BF1E22E" w14:textId="13F72F50" w:rsidR="00B05950" w:rsidRPr="00310E7C" w:rsidRDefault="00310E7C" w:rsidP="00310E7C">
      <w:pPr>
        <w:textAlignment w:val="baseline"/>
        <w:rPr>
          <w:rFonts w:eastAsia="Times New Roman"/>
          <w:color w:val="000000"/>
          <w:lang w:val="en-GB"/>
        </w:rPr>
      </w:pPr>
      <w:r>
        <w:rPr>
          <w:rFonts w:eastAsia="Times New Roman"/>
          <w:b/>
          <w:color w:val="000000"/>
          <w:lang w:val="en-GB"/>
        </w:rPr>
        <w:t xml:space="preserve">– </w:t>
      </w:r>
      <w:r w:rsidR="00843086" w:rsidRPr="00310E7C">
        <w:rPr>
          <w:rFonts w:eastAsia="Times New Roman"/>
          <w:color w:val="000000"/>
          <w:spacing w:val="1"/>
          <w:lang w:val="en-GB"/>
        </w:rPr>
        <w:t>Who may petition for bankruptcy or reorganisation:</w:t>
      </w:r>
      <w:r w:rsidR="00B05950" w:rsidRPr="00310E7C">
        <w:rPr>
          <w:rFonts w:eastAsia="Times New Roman"/>
          <w:color w:val="000000"/>
          <w:spacing w:val="1"/>
          <w:lang w:val="en-GB"/>
        </w:rPr>
        <w:br/>
      </w:r>
      <w:r w:rsidR="00843086" w:rsidRPr="00310E7C">
        <w:rPr>
          <w:rFonts w:eastAsia="Times New Roman"/>
          <w:color w:val="000000"/>
          <w:lang w:val="en-GB"/>
        </w:rPr>
        <w:t xml:space="preserve">Every business company and business person labelled as “debtor” qualifies for bankruptcy and reorganisation. Government-owned </w:t>
      </w:r>
      <w:r w:rsidR="00843086" w:rsidRPr="00310E7C">
        <w:rPr>
          <w:rFonts w:eastAsia="Times New Roman"/>
          <w:color w:val="000000"/>
          <w:lang w:val="en-GB"/>
        </w:rPr>
        <w:lastRenderedPageBreak/>
        <w:t xml:space="preserve">entities and mixed-capital companies do not fall within the regimes prescribed by the BBL. The </w:t>
      </w:r>
      <w:r w:rsidR="00843086" w:rsidRPr="00310E7C">
        <w:rPr>
          <w:rFonts w:eastAsia="Times New Roman"/>
          <w:i/>
          <w:color w:val="000000"/>
          <w:lang w:val="en-GB"/>
        </w:rPr>
        <w:t xml:space="preserve">“de facto </w:t>
      </w:r>
      <w:r w:rsidR="00843086" w:rsidRPr="00310E7C">
        <w:rPr>
          <w:rFonts w:eastAsia="Times New Roman"/>
          <w:color w:val="000000"/>
          <w:lang w:val="en-GB"/>
        </w:rPr>
        <w:t>business entity” may have its bankruptcy declared, but cannot apply for judicial or out-of-court reorganisation.</w:t>
      </w:r>
    </w:p>
    <w:p w14:paraId="5AC7105C" w14:textId="3E0CCC91" w:rsidR="00843086" w:rsidRPr="00310E7C" w:rsidRDefault="00310E7C" w:rsidP="00310E7C">
      <w:pPr>
        <w:textAlignment w:val="baseline"/>
        <w:rPr>
          <w:rFonts w:eastAsia="Times New Roman"/>
          <w:color w:val="000000"/>
          <w:lang w:val="en-GB"/>
        </w:rPr>
      </w:pPr>
      <w:r>
        <w:rPr>
          <w:rFonts w:eastAsia="Times New Roman"/>
          <w:b/>
          <w:color w:val="000000"/>
          <w:lang w:val="en-GB"/>
        </w:rPr>
        <w:t xml:space="preserve">– </w:t>
      </w:r>
      <w:r w:rsidR="00843086" w:rsidRPr="00310E7C">
        <w:rPr>
          <w:rFonts w:eastAsia="Times New Roman"/>
          <w:color w:val="000000"/>
          <w:spacing w:val="1"/>
          <w:lang w:val="en-GB"/>
        </w:rPr>
        <w:t>Who may not petition for bankruptcy or reorganisation:</w:t>
      </w:r>
      <w:r w:rsidR="00B05950" w:rsidRPr="00310E7C">
        <w:rPr>
          <w:rFonts w:eastAsia="Times New Roman"/>
          <w:color w:val="000000"/>
          <w:spacing w:val="1"/>
          <w:lang w:val="en-GB"/>
        </w:rPr>
        <w:br/>
      </w:r>
      <w:r w:rsidR="00843086" w:rsidRPr="00310E7C">
        <w:rPr>
          <w:rFonts w:eastAsia="Times New Roman"/>
          <w:color w:val="000000"/>
          <w:spacing w:val="2"/>
          <w:lang w:val="en-GB"/>
        </w:rPr>
        <w:t>Government-owned or private financial institutions</w:t>
      </w:r>
      <w:r w:rsidR="00317D29" w:rsidRPr="00310E7C">
        <w:rPr>
          <w:rFonts w:eastAsia="Times New Roman"/>
          <w:color w:val="000000"/>
          <w:spacing w:val="2"/>
          <w:lang w:val="en-GB"/>
        </w:rPr>
        <w:t xml:space="preserve">; </w:t>
      </w:r>
      <w:r w:rsidR="00843086" w:rsidRPr="00310E7C">
        <w:rPr>
          <w:rFonts w:eastAsia="Times New Roman"/>
          <w:color w:val="000000"/>
          <w:spacing w:val="1"/>
          <w:lang w:val="en-GB"/>
        </w:rPr>
        <w:t>Public or private financial institutions</w:t>
      </w:r>
      <w:r w:rsidR="00317D29" w:rsidRPr="00310E7C">
        <w:rPr>
          <w:rFonts w:eastAsia="Times New Roman"/>
          <w:color w:val="000000"/>
          <w:spacing w:val="1"/>
          <w:lang w:val="en-GB"/>
        </w:rPr>
        <w:t>;</w:t>
      </w:r>
      <w:r w:rsidR="00317D29" w:rsidRPr="00310E7C">
        <w:rPr>
          <w:rFonts w:eastAsia="Times New Roman"/>
          <w:color w:val="000000"/>
          <w:lang w:val="en-GB"/>
        </w:rPr>
        <w:t xml:space="preserve"> </w:t>
      </w:r>
      <w:r w:rsidR="00843086" w:rsidRPr="00310E7C">
        <w:rPr>
          <w:rFonts w:eastAsia="Times New Roman"/>
          <w:color w:val="000000"/>
          <w:lang w:val="en-GB"/>
        </w:rPr>
        <w:t>Credit unions</w:t>
      </w:r>
      <w:r w:rsidR="00317D29" w:rsidRPr="00310E7C">
        <w:rPr>
          <w:rFonts w:eastAsia="Times New Roman"/>
          <w:color w:val="000000"/>
          <w:lang w:val="en-GB"/>
        </w:rPr>
        <w:t xml:space="preserve">; </w:t>
      </w:r>
      <w:r w:rsidR="00843086" w:rsidRPr="00310E7C">
        <w:rPr>
          <w:rFonts w:eastAsia="Times New Roman"/>
          <w:color w:val="000000"/>
          <w:lang w:val="en-GB"/>
        </w:rPr>
        <w:t>Purchasing pools</w:t>
      </w:r>
      <w:r w:rsidR="00317D29" w:rsidRPr="00310E7C">
        <w:rPr>
          <w:rFonts w:eastAsia="Times New Roman"/>
          <w:color w:val="000000"/>
          <w:lang w:val="en-GB"/>
        </w:rPr>
        <w:t>;</w:t>
      </w:r>
      <w:r w:rsidR="00317D29" w:rsidRPr="00310E7C">
        <w:rPr>
          <w:rFonts w:eastAsia="Times New Roman"/>
          <w:color w:val="000000"/>
          <w:spacing w:val="1"/>
          <w:lang w:val="en-GB"/>
        </w:rPr>
        <w:t xml:space="preserve"> </w:t>
      </w:r>
      <w:r w:rsidR="00843086" w:rsidRPr="00310E7C">
        <w:rPr>
          <w:rFonts w:eastAsia="Times New Roman"/>
          <w:color w:val="000000"/>
          <w:spacing w:val="1"/>
          <w:lang w:val="en-GB"/>
        </w:rPr>
        <w:t>Private pension entities</w:t>
      </w:r>
      <w:r w:rsidR="00317D29" w:rsidRPr="00310E7C">
        <w:rPr>
          <w:rFonts w:eastAsia="Times New Roman"/>
          <w:color w:val="000000"/>
          <w:spacing w:val="1"/>
          <w:lang w:val="en-GB"/>
        </w:rPr>
        <w:t xml:space="preserve">; </w:t>
      </w:r>
      <w:r w:rsidR="00843086" w:rsidRPr="00310E7C">
        <w:rPr>
          <w:rFonts w:eastAsia="Times New Roman"/>
          <w:color w:val="000000"/>
          <w:spacing w:val="1"/>
          <w:lang w:val="en-GB"/>
        </w:rPr>
        <w:t>Health care plan companies</w:t>
      </w:r>
      <w:r w:rsidR="00317D29" w:rsidRPr="00310E7C">
        <w:rPr>
          <w:rFonts w:eastAsia="Times New Roman"/>
          <w:color w:val="000000"/>
          <w:spacing w:val="1"/>
          <w:lang w:val="en-GB"/>
        </w:rPr>
        <w:t>;</w:t>
      </w:r>
      <w:r w:rsidR="00317D29" w:rsidRPr="00310E7C">
        <w:rPr>
          <w:rFonts w:eastAsia="Times New Roman"/>
          <w:color w:val="000000"/>
          <w:spacing w:val="2"/>
          <w:lang w:val="en-GB"/>
        </w:rPr>
        <w:t xml:space="preserve"> </w:t>
      </w:r>
      <w:r w:rsidR="00843086" w:rsidRPr="00310E7C">
        <w:rPr>
          <w:rFonts w:eastAsia="Times New Roman"/>
          <w:color w:val="000000"/>
          <w:spacing w:val="2"/>
          <w:lang w:val="en-GB"/>
        </w:rPr>
        <w:t>Insurance companies</w:t>
      </w:r>
      <w:r w:rsidR="00317D29" w:rsidRPr="00310E7C">
        <w:rPr>
          <w:rFonts w:eastAsia="Times New Roman"/>
          <w:color w:val="000000"/>
          <w:spacing w:val="2"/>
          <w:lang w:val="en-GB"/>
        </w:rPr>
        <w:t>;</w:t>
      </w:r>
      <w:r w:rsidR="00317D29" w:rsidRPr="00310E7C">
        <w:rPr>
          <w:rFonts w:eastAsia="Times New Roman"/>
          <w:color w:val="000000"/>
          <w:lang w:val="en-GB"/>
        </w:rPr>
        <w:t xml:space="preserve"> </w:t>
      </w:r>
      <w:r w:rsidR="00843086" w:rsidRPr="00310E7C">
        <w:rPr>
          <w:rFonts w:eastAsia="Times New Roman"/>
          <w:color w:val="000000"/>
          <w:lang w:val="en-GB"/>
        </w:rPr>
        <w:t>Special savings companies</w:t>
      </w:r>
      <w:r w:rsidR="00317D29" w:rsidRPr="00310E7C">
        <w:rPr>
          <w:rFonts w:eastAsia="Times New Roman"/>
          <w:color w:val="000000"/>
          <w:lang w:val="en-GB"/>
        </w:rPr>
        <w:t xml:space="preserve">; </w:t>
      </w:r>
      <w:r w:rsidR="00843086" w:rsidRPr="00310E7C">
        <w:rPr>
          <w:rFonts w:eastAsia="Times New Roman"/>
          <w:color w:val="000000"/>
          <w:lang w:val="en-GB"/>
        </w:rPr>
        <w:t>Any other comparable entities</w:t>
      </w:r>
      <w:r w:rsidR="00774721">
        <w:rPr>
          <w:rFonts w:eastAsia="Times New Roman"/>
          <w:color w:val="000000"/>
          <w:lang w:val="en-GB"/>
        </w:rPr>
        <w:t>.</w:t>
      </w:r>
    </w:p>
    <w:p w14:paraId="15B29BC6" w14:textId="6C8C7A8F" w:rsidR="00843086" w:rsidRPr="00B05950" w:rsidRDefault="00843086" w:rsidP="00E22BA4">
      <w:pPr>
        <w:pStyle w:val="Titre2"/>
        <w:rPr>
          <w:rFonts w:eastAsia="Bookman Old Style"/>
          <w:b w:val="0"/>
        </w:rPr>
      </w:pPr>
      <w:r w:rsidRPr="00311159">
        <w:rPr>
          <w:rFonts w:eastAsia="Bookman Old Style"/>
          <w:szCs w:val="24"/>
        </w:rPr>
        <w:t>Liquidation (bankruptcy)</w:t>
      </w:r>
    </w:p>
    <w:p w14:paraId="1677CEA9" w14:textId="67DA333E" w:rsidR="00317D29" w:rsidRPr="00311159" w:rsidRDefault="00843086" w:rsidP="00E22BA4">
      <w:pPr>
        <w:textAlignment w:val="baseline"/>
        <w:rPr>
          <w:rFonts w:eastAsia="Times New Roman"/>
          <w:color w:val="000000"/>
          <w:lang w:val="en-GB"/>
        </w:rPr>
      </w:pPr>
      <w:r w:rsidRPr="00311159">
        <w:rPr>
          <w:rFonts w:eastAsia="Times New Roman"/>
          <w:color w:val="000000"/>
          <w:lang w:val="en-GB"/>
        </w:rPr>
        <w:t>Liquidation aims to end a debtor’s business activities by preserving and optimising the company’s goods, assets, and production sources so that they can be used to settle debts in a stated order of priority (BBL, article 75). It is a procedure analogous to Chapter 7 under the US Bankruptcy Code.</w:t>
      </w:r>
    </w:p>
    <w:p w14:paraId="57DC7A10" w14:textId="0674EA4E" w:rsidR="00843086" w:rsidRPr="00310E7C" w:rsidRDefault="00317D29" w:rsidP="00E22BA4">
      <w:pPr>
        <w:pStyle w:val="Titre3"/>
        <w:numPr>
          <w:ilvl w:val="0"/>
          <w:numId w:val="0"/>
        </w:numPr>
        <w:ind w:left="2124"/>
        <w:rPr>
          <w:rFonts w:eastAsia="Verdana"/>
          <w:b w:val="0"/>
          <w:lang w:val="en-US"/>
        </w:rPr>
      </w:pPr>
      <w:r w:rsidRPr="00310E7C">
        <w:rPr>
          <w:rFonts w:eastAsia="Verdana"/>
          <w:lang w:val="en-US"/>
        </w:rPr>
        <w:t>1)</w:t>
      </w:r>
      <w:r w:rsidR="00183E99">
        <w:rPr>
          <w:rFonts w:eastAsia="Verdana"/>
          <w:lang w:val="en-US"/>
        </w:rPr>
        <w:t xml:space="preserve"> </w:t>
      </w:r>
      <w:r w:rsidR="00843086" w:rsidRPr="00310E7C">
        <w:rPr>
          <w:rFonts w:eastAsia="Bookman Old Style"/>
          <w:lang w:val="en-US"/>
        </w:rPr>
        <w:t>Eligibility and requirements</w:t>
      </w:r>
    </w:p>
    <w:p w14:paraId="40438E6E"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Liquidation may be requested if a company fails to pay its debt</w:t>
      </w:r>
      <w:r w:rsidRPr="00311159">
        <w:rPr>
          <w:rStyle w:val="Marquenotebasdepage"/>
          <w:rFonts w:eastAsia="Times New Roman"/>
          <w:color w:val="000000"/>
          <w:lang w:val="en-GB"/>
        </w:rPr>
        <w:footnoteReference w:id="14"/>
      </w:r>
      <w:r w:rsidRPr="00311159">
        <w:rPr>
          <w:rFonts w:eastAsia="Times New Roman"/>
          <w:color w:val="000000"/>
          <w:lang w:val="en-GB"/>
        </w:rPr>
        <w:t xml:space="preserve"> as and when due. Alternatively, an applicant can prove that the debtor has committed an act that characterises its bankruptcy, within a certain period established by law, unless that act is part of a judicial reorganisation plan. Acts that characterise a bankruptcy include:</w:t>
      </w:r>
    </w:p>
    <w:p w14:paraId="268C3DAE" w14:textId="12F8EB0C" w:rsidR="00843086" w:rsidRPr="00311159" w:rsidRDefault="00843086" w:rsidP="00E22BA4">
      <w:pPr>
        <w:tabs>
          <w:tab w:val="left" w:pos="0"/>
          <w:tab w:val="left" w:pos="792"/>
        </w:tabs>
        <w:textAlignment w:val="baseline"/>
        <w:rPr>
          <w:rFonts w:eastAsia="Times New Roman"/>
          <w:color w:val="000000"/>
          <w:lang w:val="en-GB"/>
        </w:rPr>
      </w:pPr>
      <w:r w:rsidRPr="00311159">
        <w:rPr>
          <w:rFonts w:eastAsia="Times New Roman"/>
          <w:color w:val="000000"/>
          <w:lang w:val="en-GB"/>
        </w:rPr>
        <w:t>Failing to pay, set aside or attach assets within twenty-four hours in enforcement proceedings;</w:t>
      </w:r>
      <w:r w:rsidR="00317D29" w:rsidRPr="00311159">
        <w:rPr>
          <w:rFonts w:eastAsia="Times New Roman"/>
          <w:color w:val="000000"/>
          <w:spacing w:val="1"/>
          <w:lang w:val="en-GB"/>
        </w:rPr>
        <w:t xml:space="preserve"> </w:t>
      </w:r>
      <w:r w:rsidRPr="00311159">
        <w:rPr>
          <w:rFonts w:eastAsia="Times New Roman"/>
          <w:color w:val="000000"/>
          <w:spacing w:val="1"/>
          <w:lang w:val="en-GB"/>
        </w:rPr>
        <w:t>Liquidating assets prematurely;</w:t>
      </w:r>
      <w:r w:rsidR="00317D29" w:rsidRPr="00311159">
        <w:rPr>
          <w:rFonts w:eastAsia="Times New Roman"/>
          <w:color w:val="000000"/>
          <w:lang w:val="en-GB"/>
        </w:rPr>
        <w:t xml:space="preserve"> </w:t>
      </w:r>
      <w:r w:rsidRPr="00311159">
        <w:rPr>
          <w:rFonts w:eastAsia="Times New Roman"/>
          <w:color w:val="000000"/>
          <w:lang w:val="en-GB"/>
        </w:rPr>
        <w:t>Making payments fraudulently;</w:t>
      </w:r>
      <w:r w:rsidR="00317D29" w:rsidRPr="00311159">
        <w:rPr>
          <w:rFonts w:eastAsia="Times New Roman"/>
          <w:color w:val="000000"/>
          <w:lang w:val="en-GB"/>
        </w:rPr>
        <w:t xml:space="preserve"> </w:t>
      </w:r>
      <w:r w:rsidRPr="00311159">
        <w:rPr>
          <w:rFonts w:eastAsia="Times New Roman"/>
          <w:color w:val="000000"/>
          <w:lang w:val="en-GB"/>
        </w:rPr>
        <w:t>Conveying, or attempting to convey, any assets to a third party (which may include other creditors) with the object of delaying payments or defrauding creditors;</w:t>
      </w:r>
      <w:r w:rsidR="00317D29" w:rsidRPr="00311159">
        <w:rPr>
          <w:rFonts w:eastAsia="Times New Roman"/>
          <w:color w:val="000000"/>
          <w:lang w:val="en-GB"/>
        </w:rPr>
        <w:t xml:space="preserve"> </w:t>
      </w:r>
      <w:r w:rsidRPr="00311159">
        <w:rPr>
          <w:rFonts w:eastAsia="Times New Roman"/>
          <w:color w:val="000000"/>
          <w:lang w:val="en-GB"/>
        </w:rPr>
        <w:t>Transferring an establishment to a third party (which may be a creditor) without the consent of all creditors and without reserving sufficient assets to settle all liabilities;</w:t>
      </w:r>
      <w:r w:rsidR="00317D29" w:rsidRPr="00311159">
        <w:rPr>
          <w:rFonts w:eastAsia="Times New Roman"/>
          <w:color w:val="000000"/>
          <w:lang w:val="en-GB"/>
        </w:rPr>
        <w:t xml:space="preserve"> </w:t>
      </w:r>
      <w:r w:rsidRPr="00311159">
        <w:rPr>
          <w:rFonts w:eastAsia="Times New Roman"/>
          <w:color w:val="000000"/>
          <w:lang w:val="en-GB"/>
        </w:rPr>
        <w:t>Simulating the transfer of a principal establishment with the purpose of circumventing the law, or harming a creditor;</w:t>
      </w:r>
      <w:r w:rsidR="00317D29" w:rsidRPr="00311159">
        <w:rPr>
          <w:rFonts w:eastAsia="Times New Roman"/>
          <w:color w:val="000000"/>
          <w:lang w:val="en-GB"/>
        </w:rPr>
        <w:t xml:space="preserve"> </w:t>
      </w:r>
      <w:r w:rsidRPr="00311159">
        <w:rPr>
          <w:rFonts w:eastAsia="Times New Roman"/>
          <w:color w:val="000000"/>
          <w:lang w:val="en-GB"/>
        </w:rPr>
        <w:t>Giving or increasing a guarantee to a creditor for an existing debt, without reserving sufficient assets to settle all liabilities;</w:t>
      </w:r>
      <w:r w:rsidR="00317D29" w:rsidRPr="00311159">
        <w:rPr>
          <w:rFonts w:eastAsia="Times New Roman"/>
          <w:color w:val="000000"/>
          <w:spacing w:val="3"/>
          <w:lang w:val="en-GB"/>
        </w:rPr>
        <w:t xml:space="preserve"> </w:t>
      </w:r>
      <w:r w:rsidRPr="00311159">
        <w:rPr>
          <w:rFonts w:eastAsia="Times New Roman"/>
          <w:color w:val="000000"/>
          <w:spacing w:val="3"/>
          <w:lang w:val="en-GB"/>
        </w:rPr>
        <w:t>For an individual business debtor: absenting himself without leaving a qualified representative with sufficient funds to pay creditors; abandoning an establishment</w:t>
      </w:r>
      <w:r w:rsidR="00B67B61">
        <w:rPr>
          <w:rFonts w:eastAsia="Times New Roman"/>
          <w:color w:val="000000"/>
          <w:spacing w:val="3"/>
          <w:lang w:val="en-GB"/>
        </w:rPr>
        <w:t> </w:t>
      </w:r>
      <w:r w:rsidRPr="00311159">
        <w:rPr>
          <w:rFonts w:eastAsia="Times New Roman"/>
          <w:color w:val="000000"/>
          <w:spacing w:val="3"/>
          <w:lang w:val="en-GB"/>
        </w:rPr>
        <w:t>; or attempting to hide the location of his place of domicile, his headquarters or his principal establishment from the authorities; and/or</w:t>
      </w:r>
      <w:r w:rsidR="00317D29" w:rsidRPr="00311159">
        <w:rPr>
          <w:rFonts w:eastAsia="Times New Roman"/>
          <w:color w:val="000000"/>
          <w:lang w:val="en-GB"/>
        </w:rPr>
        <w:t xml:space="preserve"> </w:t>
      </w:r>
      <w:r w:rsidRPr="00311159">
        <w:rPr>
          <w:rFonts w:eastAsia="Times New Roman"/>
          <w:color w:val="000000"/>
          <w:lang w:val="en-GB"/>
        </w:rPr>
        <w:t>Failing to perform an obligation under a judicial reorganisation plan within the required period.</w:t>
      </w:r>
    </w:p>
    <w:p w14:paraId="6D26F288" w14:textId="77777777" w:rsidR="00843086" w:rsidRPr="00311159" w:rsidRDefault="00843086" w:rsidP="00E22BA4">
      <w:pPr>
        <w:textAlignment w:val="baseline"/>
        <w:rPr>
          <w:rFonts w:eastAsia="Times New Roman"/>
          <w:color w:val="000000"/>
          <w:spacing w:val="1"/>
          <w:lang w:val="en-GB"/>
        </w:rPr>
      </w:pPr>
      <w:r w:rsidRPr="00311159">
        <w:rPr>
          <w:rFonts w:eastAsia="Times New Roman"/>
          <w:color w:val="000000"/>
          <w:lang w:val="en-GB"/>
        </w:rPr>
        <w:t xml:space="preserve">A financially distressed company may voluntarily file for bankruptcy liquidation if it demonstrates that its business is unfeasible. In practical terms, debtors only opt for bankruptcy </w:t>
      </w:r>
      <w:r w:rsidRPr="00311159">
        <w:rPr>
          <w:rFonts w:eastAsia="Times New Roman"/>
          <w:color w:val="000000"/>
          <w:lang w:val="en-GB"/>
        </w:rPr>
        <w:lastRenderedPageBreak/>
        <w:t xml:space="preserve">when their economic activity is no longer viable, or is beyond recovery. Even so, lawyers recommend voluntary bankruptcy only in exceptional </w:t>
      </w:r>
      <w:r w:rsidRPr="00311159">
        <w:rPr>
          <w:rFonts w:eastAsia="Times New Roman"/>
          <w:color w:val="000000"/>
          <w:spacing w:val="1"/>
          <w:lang w:val="en-GB"/>
        </w:rPr>
        <w:t>cases, because of the risks existing in Brazil with regard to personal liability of officers and shareholders for labour, taxation and social security obligations or for damage to the environment and consumers, also considering that the authorities will investigate into mismanagement and bankruptcy crimes once bankruptcy is decreed.</w:t>
      </w:r>
    </w:p>
    <w:p w14:paraId="0A333FB3"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Once a petition for involuntary bankruptcy is filed with the court, the debtor must pay the debt owed, and/or submit a defence, within ten days. To avoid liquidation, the debtor may also file for judicial reorganisation within the same period (please see item 6.2.1 below).</w:t>
      </w:r>
    </w:p>
    <w:p w14:paraId="6B1F65E7"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If a defence is not filed or is rejected and/or the debtor has not paid the debt, a bankruptcy decree is granted, and a court-appointed trustee will replace the debtor’s directors and officers.</w:t>
      </w:r>
    </w:p>
    <w:p w14:paraId="2E9551BF" w14:textId="43503C39"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 xml:space="preserve">Gathering and appraisal of the debtor’s assets (including real properties or movable assets subject to </w:t>
      </w:r>
      <w:r w:rsidRPr="00311159">
        <w:rPr>
          <w:rFonts w:eastAsia="Arial"/>
          <w:i/>
          <w:color w:val="000000"/>
          <w:lang w:val="en-GB"/>
        </w:rPr>
        <w:t xml:space="preserve">in rem </w:t>
      </w:r>
      <w:r w:rsidRPr="00311159">
        <w:rPr>
          <w:rFonts w:eastAsia="Times New Roman"/>
          <w:color w:val="000000"/>
          <w:lang w:val="en-GB"/>
        </w:rPr>
        <w:t>guarantees) must occur promptly after the trustee is appointed. The debtor’s assets must be realised in an expeditious manner to maximise value (preferably, as a going-concern or in blocks) and the proceeds will be earmarked to pay the creditors</w:t>
      </w:r>
      <w:r w:rsidR="00B67B61">
        <w:rPr>
          <w:rFonts w:eastAsia="Times New Roman"/>
          <w:color w:val="000000"/>
          <w:lang w:val="en-GB"/>
        </w:rPr>
        <w:t> </w:t>
      </w:r>
      <w:r w:rsidRPr="00311159">
        <w:rPr>
          <w:rFonts w:eastAsia="Times New Roman"/>
          <w:color w:val="000000"/>
          <w:lang w:val="en-GB"/>
        </w:rPr>
        <w:t>claims.</w:t>
      </w:r>
      <w:r w:rsidRPr="00311159">
        <w:rPr>
          <w:rStyle w:val="Marquenotebasdepage"/>
          <w:rFonts w:eastAsia="Bookman Old Style"/>
          <w:color w:val="000000"/>
          <w:lang w:val="en-GB"/>
        </w:rPr>
        <w:footnoteReference w:id="15"/>
      </w:r>
      <w:r w:rsidRPr="00311159">
        <w:rPr>
          <w:rFonts w:eastAsia="Times New Roman"/>
          <w:color w:val="000000"/>
          <w:lang w:val="en-GB"/>
        </w:rPr>
        <w:t xml:space="preserve"> The debtor’s assets and liabilities make up the bankruptcy estate.</w:t>
      </w:r>
    </w:p>
    <w:p w14:paraId="05057255" w14:textId="5276CDF9" w:rsidR="00843086" w:rsidRPr="00311159" w:rsidRDefault="00843086" w:rsidP="00E22BA4">
      <w:pPr>
        <w:textAlignment w:val="baseline"/>
        <w:rPr>
          <w:rFonts w:eastAsia="Times New Roman"/>
          <w:b/>
          <w:color w:val="000000"/>
          <w:lang w:val="en-GB"/>
        </w:rPr>
      </w:pPr>
      <w:r w:rsidRPr="00311159">
        <w:rPr>
          <w:rFonts w:eastAsia="Times New Roman"/>
          <w:color w:val="000000"/>
          <w:lang w:val="en-GB"/>
        </w:rPr>
        <w:t>Once a schedule of assets has been prepared, assets are sold. The court orders this to be done by public auction, sealed bids or public proclamation, depending on the advice provided by the trustee and by the committee of creditors (if there is one). The risk of tax, labour and social security succession does not apply to any judicial sale carried out under bankruptcy proceedings (Article 60, single paragraph, of the BBL and Supplementary Law No. 118). Creditors are paid in the statutory order of priority set forth under article 83 of the BBL.</w:t>
      </w:r>
    </w:p>
    <w:p w14:paraId="3CFFCD2B" w14:textId="542435B2" w:rsidR="00843086" w:rsidRPr="00183E99" w:rsidRDefault="00317D29" w:rsidP="00E22BA4">
      <w:pPr>
        <w:pStyle w:val="Titre3"/>
        <w:numPr>
          <w:ilvl w:val="0"/>
          <w:numId w:val="0"/>
        </w:numPr>
        <w:ind w:left="2124"/>
        <w:rPr>
          <w:rFonts w:eastAsia="Bookman Old Style"/>
          <w:b w:val="0"/>
          <w:spacing w:val="-6"/>
          <w:lang w:val="en-US"/>
        </w:rPr>
      </w:pPr>
      <w:r w:rsidRPr="00183E99">
        <w:rPr>
          <w:rFonts w:eastAsia="Times New Roman"/>
          <w:spacing w:val="-6"/>
          <w:lang w:val="en-US"/>
        </w:rPr>
        <w:t>2)</w:t>
      </w:r>
      <w:r w:rsidR="00183E99" w:rsidRPr="00183E99">
        <w:rPr>
          <w:rFonts w:eastAsia="Times New Roman"/>
          <w:spacing w:val="-6"/>
          <w:lang w:val="en-US"/>
        </w:rPr>
        <w:t xml:space="preserve"> </w:t>
      </w:r>
      <w:r w:rsidR="00843086" w:rsidRPr="00183E99">
        <w:rPr>
          <w:rFonts w:eastAsia="Bookman Old Style"/>
          <w:spacing w:val="-6"/>
          <w:lang w:val="en-US"/>
        </w:rPr>
        <w:t>Di</w:t>
      </w:r>
      <w:r w:rsidR="00183E99" w:rsidRPr="00183E99">
        <w:rPr>
          <w:rFonts w:eastAsia="Bookman Old Style"/>
          <w:spacing w:val="-6"/>
          <w:lang w:val="en-US"/>
        </w:rPr>
        <w:t xml:space="preserve">rectors’ liability: fraudulent, </w:t>
      </w:r>
      <w:r w:rsidR="00843086" w:rsidRPr="00183E99">
        <w:rPr>
          <w:rFonts w:eastAsia="Bookman Old Style"/>
          <w:spacing w:val="-6"/>
          <w:lang w:val="en-US"/>
        </w:rPr>
        <w:t xml:space="preserve">reckless insolvent trading, </w:t>
      </w:r>
      <w:proofErr w:type="spellStart"/>
      <w:r w:rsidR="00843086" w:rsidRPr="00183E99">
        <w:rPr>
          <w:rFonts w:eastAsia="Bookman Old Style"/>
          <w:spacing w:val="-6"/>
          <w:lang w:val="en-US"/>
        </w:rPr>
        <w:t>etc</w:t>
      </w:r>
      <w:proofErr w:type="spellEnd"/>
      <w:r w:rsidR="00843086" w:rsidRPr="00183E99">
        <w:rPr>
          <w:rStyle w:val="Marquenotebasdepage"/>
          <w:rFonts w:eastAsia="Bookman Old Style"/>
          <w:color w:val="000000"/>
          <w:spacing w:val="-6"/>
          <w:lang w:val="en-GB"/>
        </w:rPr>
        <w:footnoteReference w:id="16"/>
      </w:r>
    </w:p>
    <w:p w14:paraId="7F686090" w14:textId="77777777" w:rsidR="00843086" w:rsidRPr="00311159" w:rsidRDefault="00843086" w:rsidP="00E22BA4">
      <w:pPr>
        <w:textAlignment w:val="baseline"/>
        <w:rPr>
          <w:rFonts w:eastAsia="Times New Roman"/>
          <w:color w:val="000000"/>
          <w:spacing w:val="1"/>
          <w:lang w:val="en-GB"/>
        </w:rPr>
      </w:pPr>
      <w:r w:rsidRPr="00311159">
        <w:rPr>
          <w:rFonts w:eastAsia="Times New Roman"/>
          <w:color w:val="000000"/>
          <w:lang w:val="en-GB"/>
        </w:rPr>
        <w:t>The shareholders and senior managers of a bankrupt company can be personally liable for labour, social security and tax obligations, depending on the type of</w:t>
      </w:r>
      <w:r w:rsidRPr="00311159">
        <w:rPr>
          <w:rFonts w:eastAsia="Times New Roman"/>
          <w:color w:val="000000"/>
          <w:spacing w:val="1"/>
          <w:lang w:val="en-GB"/>
        </w:rPr>
        <w:t xml:space="preserve"> company, and the conduct and actions of the senior managers.</w:t>
      </w:r>
    </w:p>
    <w:p w14:paraId="624D73B0" w14:textId="77777777" w:rsidR="00843086" w:rsidRPr="00311159" w:rsidRDefault="00843086" w:rsidP="00E22BA4">
      <w:pPr>
        <w:textAlignment w:val="baseline"/>
        <w:rPr>
          <w:rFonts w:eastAsia="Times New Roman"/>
          <w:color w:val="000000"/>
          <w:spacing w:val="4"/>
          <w:lang w:val="en-GB"/>
        </w:rPr>
      </w:pPr>
      <w:r w:rsidRPr="00311159">
        <w:rPr>
          <w:rFonts w:eastAsia="Times New Roman"/>
          <w:color w:val="000000"/>
          <w:spacing w:val="4"/>
          <w:lang w:val="en-GB"/>
        </w:rPr>
        <w:t xml:space="preserve">The bankruptcy court verifies the liabilities of partners, controllers and officers of a bankrupt company, irrespective of whether assets have been liquidated or whether there is any evidence showing that the debtor's assets are not sufficient to meet liabilities. The court can, on its own initiative or at the </w:t>
      </w:r>
      <w:r w:rsidRPr="00311159">
        <w:rPr>
          <w:rFonts w:eastAsia="Times New Roman"/>
          <w:color w:val="000000"/>
          <w:spacing w:val="4"/>
          <w:lang w:val="en-GB"/>
        </w:rPr>
        <w:lastRenderedPageBreak/>
        <w:t>request of interested parties, order that the defendants' private assets (at a value sufficient to cover the damage caused) be frozen, until a liability is eventually determined. A criminal investigation into the commitment of bankruptcy crimes may be instated.</w:t>
      </w:r>
    </w:p>
    <w:p w14:paraId="505C1F0C"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 corporate veil can be disregarded so that shareholders (including parent companies) and senior managers can also be held liable for the company's debts in cases of fraud, abuse of control or equity confusion.</w:t>
      </w:r>
    </w:p>
    <w:p w14:paraId="59F7C31B" w14:textId="7E867FF4" w:rsidR="00843086" w:rsidRPr="00311159" w:rsidRDefault="00843086" w:rsidP="00E22BA4">
      <w:pPr>
        <w:tabs>
          <w:tab w:val="left" w:pos="0"/>
        </w:tabs>
        <w:textAlignment w:val="baseline"/>
        <w:rPr>
          <w:rFonts w:eastAsia="Times New Roman"/>
          <w:color w:val="000000"/>
          <w:lang w:val="en-GB"/>
        </w:rPr>
      </w:pPr>
      <w:r w:rsidRPr="00311159">
        <w:rPr>
          <w:rFonts w:eastAsia="Times New Roman"/>
          <w:color w:val="000000"/>
          <w:lang w:val="en-GB"/>
        </w:rPr>
        <w:t xml:space="preserve">Certain acts performed during the </w:t>
      </w:r>
      <w:proofErr w:type="spellStart"/>
      <w:r w:rsidRPr="00311159">
        <w:rPr>
          <w:rFonts w:eastAsia="Times New Roman"/>
          <w:color w:val="000000"/>
          <w:lang w:val="en-GB"/>
        </w:rPr>
        <w:t>voidability</w:t>
      </w:r>
      <w:proofErr w:type="spellEnd"/>
      <w:r w:rsidRPr="00311159">
        <w:rPr>
          <w:rFonts w:eastAsia="Times New Roman"/>
          <w:color w:val="000000"/>
          <w:lang w:val="en-GB"/>
        </w:rPr>
        <w:t xml:space="preserve"> period </w:t>
      </w:r>
      <w:r w:rsidRPr="00311159">
        <w:rPr>
          <w:rFonts w:eastAsia="Bookman Old Style"/>
          <w:i/>
          <w:color w:val="000000"/>
          <w:lang w:val="en-GB"/>
        </w:rPr>
        <w:t>(</w:t>
      </w:r>
      <w:proofErr w:type="spellStart"/>
      <w:r w:rsidRPr="00311159">
        <w:rPr>
          <w:rFonts w:eastAsia="Bookman Old Style"/>
          <w:i/>
          <w:color w:val="000000"/>
          <w:lang w:val="en-GB"/>
        </w:rPr>
        <w:t>termo</w:t>
      </w:r>
      <w:proofErr w:type="spellEnd"/>
      <w:r w:rsidRPr="00311159">
        <w:rPr>
          <w:rFonts w:eastAsia="Bookman Old Style"/>
          <w:i/>
          <w:color w:val="000000"/>
          <w:lang w:val="en-GB"/>
        </w:rPr>
        <w:t xml:space="preserve"> legal) </w:t>
      </w:r>
      <w:r w:rsidRPr="00311159">
        <w:rPr>
          <w:rFonts w:eastAsia="Times New Roman"/>
          <w:color w:val="000000"/>
          <w:lang w:val="en-GB"/>
        </w:rPr>
        <w:t>(except when performed in accordance with the judicial reorganisation plan) are declared ineffective or revoked in relation to the bankruptcy estate, regardless of whether the parties were aware of the financial condition of the debtor or had the intention of defrauding creditors. These include, among others:</w:t>
      </w:r>
      <w:r w:rsidR="00317D29" w:rsidRPr="00311159">
        <w:rPr>
          <w:rFonts w:eastAsia="Times New Roman"/>
          <w:color w:val="000000"/>
          <w:lang w:val="en-GB"/>
        </w:rPr>
        <w:t xml:space="preserve"> </w:t>
      </w:r>
      <w:r w:rsidRPr="00311159">
        <w:rPr>
          <w:rFonts w:eastAsia="Times New Roman"/>
          <w:color w:val="000000"/>
          <w:lang w:val="en-GB"/>
        </w:rPr>
        <w:t>payment of debts not yet due;</w:t>
      </w:r>
      <w:r w:rsidR="00317D29" w:rsidRPr="00311159">
        <w:rPr>
          <w:rFonts w:eastAsia="Times New Roman"/>
          <w:color w:val="000000"/>
          <w:lang w:val="en-GB"/>
        </w:rPr>
        <w:t xml:space="preserve"> </w:t>
      </w:r>
      <w:r w:rsidRPr="00311159">
        <w:rPr>
          <w:rFonts w:eastAsia="Times New Roman"/>
          <w:color w:val="000000"/>
          <w:lang w:val="en-GB"/>
        </w:rPr>
        <w:t>payment of due debts in a manner that is not provided for under the respective instrument;</w:t>
      </w:r>
      <w:r w:rsidR="00317D29" w:rsidRPr="00311159">
        <w:rPr>
          <w:rFonts w:eastAsia="Times New Roman"/>
          <w:color w:val="000000"/>
          <w:lang w:val="en-GB"/>
        </w:rPr>
        <w:t xml:space="preserve"> </w:t>
      </w:r>
      <w:r w:rsidRPr="00311159">
        <w:rPr>
          <w:rFonts w:eastAsia="Times New Roman"/>
          <w:color w:val="000000"/>
          <w:lang w:val="en-GB"/>
        </w:rPr>
        <w:t>creation of a security interest for an existing debt.</w:t>
      </w:r>
    </w:p>
    <w:p w14:paraId="1104D155"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Completed transactions can be undone if they were performed fraudulently, irrespective of the period which has elapsed since their occurrence.</w:t>
      </w:r>
    </w:p>
    <w:p w14:paraId="13976309" w14:textId="4DD82E09" w:rsidR="00843086" w:rsidRPr="00310E7C" w:rsidRDefault="00317D29" w:rsidP="00E22BA4">
      <w:pPr>
        <w:pStyle w:val="Titre3"/>
        <w:numPr>
          <w:ilvl w:val="0"/>
          <w:numId w:val="0"/>
        </w:numPr>
        <w:ind w:left="2124"/>
        <w:rPr>
          <w:rFonts w:eastAsia="Bookman Old Style"/>
          <w:b w:val="0"/>
          <w:lang w:val="en-US"/>
        </w:rPr>
      </w:pPr>
      <w:r w:rsidRPr="00310E7C">
        <w:rPr>
          <w:rFonts w:eastAsia="Bookman Old Style"/>
          <w:lang w:val="en-US"/>
        </w:rPr>
        <w:t>3)</w:t>
      </w:r>
      <w:r w:rsidR="00B05950" w:rsidRPr="00310E7C">
        <w:rPr>
          <w:rFonts w:eastAsia="Bookman Old Style"/>
          <w:lang w:val="en-US"/>
        </w:rPr>
        <w:t xml:space="preserve"> </w:t>
      </w:r>
      <w:r w:rsidR="00843086" w:rsidRPr="00310E7C">
        <w:rPr>
          <w:rFonts w:eastAsia="Bookman Old Style"/>
          <w:lang w:val="en-US"/>
        </w:rPr>
        <w:t>Rules of distribution (secured and unsecured creditors as well as priorities)</w:t>
      </w:r>
    </w:p>
    <w:p w14:paraId="31BF12CF" w14:textId="77777777" w:rsidR="00843086" w:rsidRPr="00311159" w:rsidRDefault="00843086" w:rsidP="00E22BA4">
      <w:pPr>
        <w:textAlignment w:val="baseline"/>
        <w:rPr>
          <w:rFonts w:eastAsia="Times New Roman"/>
          <w:color w:val="000000"/>
          <w:spacing w:val="2"/>
          <w:lang w:val="en-GB"/>
        </w:rPr>
      </w:pPr>
      <w:r w:rsidRPr="00311159">
        <w:rPr>
          <w:rFonts w:eastAsia="Times New Roman"/>
          <w:color w:val="000000"/>
          <w:spacing w:val="5"/>
          <w:lang w:val="en-GB"/>
        </w:rPr>
        <w:t>All debts become due at the time of bankruptcy. If this is before the due date in the original agreement, interest owed is reduced proportionately. All foreign currency-denominated claims are converted into domestic currency, at the exchange rate on the date of the bankruptcy decree. Debts due by the date of the bankruptcy decree are offset against claims in favour of the debtor, with priority over all other creditors; agreements to settle National Financial System</w:t>
      </w:r>
      <w:r w:rsidRPr="00311159">
        <w:rPr>
          <w:rFonts w:eastAsia="Times New Roman"/>
          <w:color w:val="000000"/>
          <w:spacing w:val="2"/>
          <w:lang w:val="en-GB"/>
        </w:rPr>
        <w:t xml:space="preserve"> obligations can be terminated early by the non-bankrupt party; and claims in favour of the debtor can be offset against claims in favour of the non-bankrupt party.</w:t>
      </w:r>
    </w:p>
    <w:p w14:paraId="0A415992"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All creditors (excluding the tax authorities) must prove their claims, or prove any discrepancy vis-à-vis the list of creditors presented by the debtor, within 15 days of a bankruptcy decree. The trustee then prepares a general list of creditors within 45 days, after which creditors may file an opposition to the list within 10 days. The general list of creditors is then ratified by the court.</w:t>
      </w:r>
    </w:p>
    <w:p w14:paraId="4A65FD4E" w14:textId="39D48F45" w:rsidR="00843086" w:rsidRPr="00B05950" w:rsidRDefault="00843086" w:rsidP="00E22BA4">
      <w:pPr>
        <w:numPr>
          <w:ilvl w:val="0"/>
          <w:numId w:val="21"/>
        </w:numPr>
        <w:tabs>
          <w:tab w:val="clear" w:pos="288"/>
          <w:tab w:val="left" w:pos="720"/>
        </w:tabs>
        <w:ind w:hanging="360"/>
        <w:textAlignment w:val="baseline"/>
        <w:rPr>
          <w:rFonts w:eastAsia="Times New Roman"/>
          <w:color w:val="000000"/>
          <w:lang w:val="en-GB"/>
        </w:rPr>
      </w:pPr>
      <w:r w:rsidRPr="00B05950">
        <w:rPr>
          <w:rFonts w:eastAsia="Times New Roman"/>
          <w:color w:val="000000"/>
          <w:lang w:val="en-GB"/>
        </w:rPr>
        <w:t>Pursuant to article 83 of the BBL, creditors subject to bankruptcy liquidation are paid on a rateable basis in the following order:</w:t>
      </w:r>
      <w:r w:rsidR="00317D29" w:rsidRPr="00B05950">
        <w:rPr>
          <w:rFonts w:eastAsia="Times New Roman"/>
          <w:color w:val="000000"/>
          <w:lang w:val="en-GB"/>
        </w:rPr>
        <w:t xml:space="preserve"> </w:t>
      </w:r>
      <w:r w:rsidRPr="00B05950">
        <w:rPr>
          <w:rFonts w:eastAsia="Times New Roman"/>
          <w:color w:val="000000"/>
          <w:lang w:val="en-GB"/>
        </w:rPr>
        <w:t>Labour (capped at 150 minimum wages per creditor) and occupational accident claims;</w:t>
      </w:r>
    </w:p>
    <w:p w14:paraId="45B366ED" w14:textId="6CBD967F" w:rsidR="00843086" w:rsidRPr="00B05950" w:rsidRDefault="00843086" w:rsidP="00E22BA4">
      <w:pPr>
        <w:numPr>
          <w:ilvl w:val="0"/>
          <w:numId w:val="21"/>
        </w:numPr>
        <w:tabs>
          <w:tab w:val="clear" w:pos="288"/>
          <w:tab w:val="left" w:pos="720"/>
        </w:tabs>
        <w:ind w:hanging="360"/>
        <w:textAlignment w:val="baseline"/>
        <w:rPr>
          <w:rFonts w:eastAsia="Times New Roman"/>
          <w:color w:val="000000"/>
          <w:spacing w:val="1"/>
          <w:lang w:val="en-GB"/>
        </w:rPr>
      </w:pPr>
      <w:r w:rsidRPr="00B05950">
        <w:rPr>
          <w:rFonts w:eastAsia="Times New Roman"/>
          <w:color w:val="000000"/>
          <w:spacing w:val="1"/>
          <w:lang w:val="en-GB"/>
        </w:rPr>
        <w:t>Secured claims up to the amount of the encumbered asset value;</w:t>
      </w:r>
    </w:p>
    <w:p w14:paraId="0E805C21" w14:textId="40437448" w:rsidR="00843086" w:rsidRPr="00B05950" w:rsidRDefault="00843086" w:rsidP="00E22BA4">
      <w:pPr>
        <w:numPr>
          <w:ilvl w:val="0"/>
          <w:numId w:val="21"/>
        </w:numPr>
        <w:tabs>
          <w:tab w:val="clear" w:pos="288"/>
          <w:tab w:val="left" w:pos="720"/>
        </w:tabs>
        <w:ind w:hanging="360"/>
        <w:textAlignment w:val="baseline"/>
        <w:rPr>
          <w:rFonts w:eastAsia="Times New Roman"/>
          <w:color w:val="000000"/>
          <w:lang w:val="en-GB"/>
        </w:rPr>
      </w:pPr>
      <w:r w:rsidRPr="00B05950">
        <w:rPr>
          <w:rFonts w:eastAsia="Times New Roman"/>
          <w:color w:val="000000"/>
          <w:lang w:val="en-GB"/>
        </w:rPr>
        <w:t>Tax claims (except tax penalties);</w:t>
      </w:r>
    </w:p>
    <w:p w14:paraId="6D5B2325" w14:textId="76D0C897" w:rsidR="00843086" w:rsidRPr="00B05950" w:rsidRDefault="00843086" w:rsidP="00E22BA4">
      <w:pPr>
        <w:numPr>
          <w:ilvl w:val="0"/>
          <w:numId w:val="21"/>
        </w:numPr>
        <w:tabs>
          <w:tab w:val="clear" w:pos="288"/>
          <w:tab w:val="left" w:pos="720"/>
        </w:tabs>
        <w:ind w:hanging="360"/>
        <w:textAlignment w:val="baseline"/>
        <w:rPr>
          <w:rFonts w:eastAsia="Times New Roman"/>
          <w:color w:val="000000"/>
          <w:lang w:val="en-GB"/>
        </w:rPr>
      </w:pPr>
      <w:r w:rsidRPr="00B05950">
        <w:rPr>
          <w:rFonts w:eastAsia="Times New Roman"/>
          <w:color w:val="000000"/>
          <w:lang w:val="en-GB"/>
        </w:rPr>
        <w:t>Special privilege claims;</w:t>
      </w:r>
    </w:p>
    <w:p w14:paraId="5C603561" w14:textId="42AC5246" w:rsidR="00843086" w:rsidRPr="00B05950" w:rsidRDefault="00843086" w:rsidP="00E22BA4">
      <w:pPr>
        <w:numPr>
          <w:ilvl w:val="0"/>
          <w:numId w:val="21"/>
        </w:numPr>
        <w:tabs>
          <w:tab w:val="clear" w:pos="288"/>
          <w:tab w:val="left" w:pos="720"/>
        </w:tabs>
        <w:ind w:hanging="360"/>
        <w:textAlignment w:val="baseline"/>
        <w:rPr>
          <w:rFonts w:eastAsia="Times New Roman"/>
          <w:color w:val="000000"/>
          <w:lang w:val="en-GB"/>
        </w:rPr>
      </w:pPr>
      <w:r w:rsidRPr="00B05950">
        <w:rPr>
          <w:rFonts w:eastAsia="Times New Roman"/>
          <w:color w:val="000000"/>
          <w:lang w:val="en-GB"/>
        </w:rPr>
        <w:lastRenderedPageBreak/>
        <w:t>General privilege claims;</w:t>
      </w:r>
    </w:p>
    <w:p w14:paraId="71ECBCA7" w14:textId="725DD8D7" w:rsidR="00843086" w:rsidRPr="00B05950" w:rsidRDefault="00843086" w:rsidP="00E22BA4">
      <w:pPr>
        <w:numPr>
          <w:ilvl w:val="0"/>
          <w:numId w:val="21"/>
        </w:numPr>
        <w:tabs>
          <w:tab w:val="clear" w:pos="288"/>
          <w:tab w:val="left" w:pos="720"/>
        </w:tabs>
        <w:ind w:hanging="360"/>
        <w:textAlignment w:val="baseline"/>
        <w:rPr>
          <w:rFonts w:eastAsia="Times New Roman"/>
          <w:color w:val="000000"/>
          <w:spacing w:val="1"/>
          <w:lang w:val="en-GB"/>
        </w:rPr>
      </w:pPr>
      <w:r w:rsidRPr="00B05950">
        <w:rPr>
          <w:rFonts w:eastAsia="Times New Roman"/>
          <w:color w:val="000000"/>
          <w:spacing w:val="1"/>
          <w:lang w:val="en-GB"/>
        </w:rPr>
        <w:t xml:space="preserve">Unsecured </w:t>
      </w:r>
      <w:proofErr w:type="gramStart"/>
      <w:r w:rsidRPr="00B05950">
        <w:rPr>
          <w:rFonts w:eastAsia="Times New Roman"/>
          <w:color w:val="000000"/>
          <w:spacing w:val="1"/>
          <w:lang w:val="en-GB"/>
        </w:rPr>
        <w:t>claims</w:t>
      </w:r>
      <w:r w:rsidR="00B67B61">
        <w:rPr>
          <w:rFonts w:eastAsia="Times New Roman"/>
          <w:color w:val="000000"/>
          <w:spacing w:val="1"/>
          <w:lang w:val="en-GB"/>
        </w:rPr>
        <w:t> </w:t>
      </w:r>
      <w:r w:rsidRPr="00B05950">
        <w:rPr>
          <w:rFonts w:eastAsia="Times New Roman"/>
          <w:color w:val="000000"/>
          <w:spacing w:val="1"/>
          <w:lang w:val="en-GB"/>
        </w:rPr>
        <w:t>;</w:t>
      </w:r>
      <w:proofErr w:type="gramEnd"/>
    </w:p>
    <w:p w14:paraId="220E3A85" w14:textId="2A159CF2" w:rsidR="00843086" w:rsidRPr="00B05950" w:rsidRDefault="00843086" w:rsidP="00E22BA4">
      <w:pPr>
        <w:numPr>
          <w:ilvl w:val="0"/>
          <w:numId w:val="21"/>
        </w:numPr>
        <w:tabs>
          <w:tab w:val="clear" w:pos="288"/>
          <w:tab w:val="left" w:pos="720"/>
        </w:tabs>
        <w:ind w:hanging="360"/>
        <w:textAlignment w:val="baseline"/>
        <w:rPr>
          <w:rFonts w:eastAsia="Times New Roman"/>
          <w:color w:val="000000"/>
          <w:lang w:val="en-GB"/>
        </w:rPr>
      </w:pPr>
      <w:r w:rsidRPr="00B05950">
        <w:rPr>
          <w:rFonts w:eastAsia="Times New Roman"/>
          <w:color w:val="000000"/>
          <w:lang w:val="en-GB"/>
        </w:rPr>
        <w:t>Contractual fines and pecuniary penalties for breach of administrative or criminal laws (including those of a tax nature); and</w:t>
      </w:r>
    </w:p>
    <w:p w14:paraId="16E7D0DE" w14:textId="77777777" w:rsidR="00843086" w:rsidRPr="00311159" w:rsidRDefault="00843086" w:rsidP="00E22BA4">
      <w:pPr>
        <w:numPr>
          <w:ilvl w:val="0"/>
          <w:numId w:val="21"/>
        </w:numPr>
        <w:tabs>
          <w:tab w:val="clear" w:pos="288"/>
          <w:tab w:val="left" w:pos="720"/>
        </w:tabs>
        <w:ind w:hanging="360"/>
        <w:textAlignment w:val="baseline"/>
        <w:rPr>
          <w:rFonts w:eastAsia="Times New Roman"/>
          <w:color w:val="000000"/>
          <w:spacing w:val="3"/>
          <w:lang w:val="en-GB"/>
        </w:rPr>
      </w:pPr>
      <w:r w:rsidRPr="00311159">
        <w:rPr>
          <w:rFonts w:eastAsia="Times New Roman"/>
          <w:color w:val="000000"/>
          <w:spacing w:val="3"/>
          <w:lang w:val="en-GB"/>
        </w:rPr>
        <w:t>Subordinated claims.</w:t>
      </w:r>
    </w:p>
    <w:p w14:paraId="33DDE3A4" w14:textId="58A3CCAD"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 BBL specifically excludes from bankruptcy liquidation any claims or assets:</w:t>
      </w:r>
      <w:r w:rsidR="00317D29" w:rsidRPr="00311159">
        <w:rPr>
          <w:rFonts w:eastAsia="Times New Roman"/>
          <w:color w:val="000000"/>
          <w:lang w:val="en-GB"/>
        </w:rPr>
        <w:t xml:space="preserve"> </w:t>
      </w:r>
      <w:r w:rsidRPr="00311159">
        <w:rPr>
          <w:rFonts w:eastAsia="Times New Roman"/>
          <w:color w:val="000000"/>
          <w:lang w:val="en-GB"/>
        </w:rPr>
        <w:t xml:space="preserve">Related to the owner of a fiduciary lien on movable or immovable assets </w:t>
      </w:r>
      <w:r w:rsidRPr="00311159">
        <w:rPr>
          <w:rFonts w:eastAsia="Times New Roman"/>
          <w:i/>
          <w:color w:val="000000"/>
          <w:lang w:val="en-GB"/>
        </w:rPr>
        <w:t>(</w:t>
      </w:r>
      <w:proofErr w:type="spellStart"/>
      <w:r w:rsidRPr="00311159">
        <w:rPr>
          <w:rFonts w:eastAsia="Times New Roman"/>
          <w:i/>
          <w:color w:val="000000"/>
          <w:lang w:val="en-GB"/>
        </w:rPr>
        <w:t>alienação</w:t>
      </w:r>
      <w:proofErr w:type="spellEnd"/>
      <w:r w:rsidRPr="00311159">
        <w:rPr>
          <w:rFonts w:eastAsia="Times New Roman"/>
          <w:i/>
          <w:color w:val="000000"/>
          <w:lang w:val="en-GB"/>
        </w:rPr>
        <w:t>/</w:t>
      </w:r>
      <w:proofErr w:type="spellStart"/>
      <w:r w:rsidRPr="00311159">
        <w:rPr>
          <w:rFonts w:eastAsia="Times New Roman"/>
          <w:i/>
          <w:color w:val="000000"/>
          <w:lang w:val="en-GB"/>
        </w:rPr>
        <w:t>cessão</w:t>
      </w:r>
      <w:proofErr w:type="spellEnd"/>
      <w:r w:rsidRPr="00311159">
        <w:rPr>
          <w:rFonts w:eastAsia="Times New Roman"/>
          <w:i/>
          <w:color w:val="000000"/>
          <w:lang w:val="en-GB"/>
        </w:rPr>
        <w:t xml:space="preserve"> </w:t>
      </w:r>
      <w:proofErr w:type="spellStart"/>
      <w:r w:rsidRPr="00311159">
        <w:rPr>
          <w:rFonts w:eastAsia="Times New Roman"/>
          <w:i/>
          <w:color w:val="000000"/>
          <w:lang w:val="en-GB"/>
        </w:rPr>
        <w:t>fiduciária</w:t>
      </w:r>
      <w:proofErr w:type="spellEnd"/>
      <w:r w:rsidRPr="00311159">
        <w:rPr>
          <w:rFonts w:eastAsia="Times New Roman"/>
          <w:i/>
          <w:color w:val="000000"/>
          <w:lang w:val="en-GB"/>
        </w:rPr>
        <w:t>);</w:t>
      </w:r>
      <w:r w:rsidR="00317D29" w:rsidRPr="00311159">
        <w:rPr>
          <w:rFonts w:eastAsia="Times New Roman"/>
          <w:color w:val="000000"/>
          <w:spacing w:val="1"/>
          <w:lang w:val="en-GB"/>
        </w:rPr>
        <w:t xml:space="preserve"> </w:t>
      </w:r>
      <w:r w:rsidRPr="00311159">
        <w:rPr>
          <w:rFonts w:eastAsia="Times New Roman"/>
          <w:color w:val="000000"/>
          <w:spacing w:val="1"/>
          <w:lang w:val="en-GB"/>
        </w:rPr>
        <w:t>Arising from a leasing agreement; or</w:t>
      </w:r>
      <w:r w:rsidR="00317D29" w:rsidRPr="00311159">
        <w:rPr>
          <w:rFonts w:eastAsia="Times New Roman"/>
          <w:color w:val="000000"/>
          <w:lang w:val="en-GB"/>
        </w:rPr>
        <w:t xml:space="preserve"> </w:t>
      </w:r>
      <w:r w:rsidRPr="00311159">
        <w:rPr>
          <w:rFonts w:eastAsia="Times New Roman"/>
          <w:color w:val="000000"/>
          <w:lang w:val="en-GB"/>
        </w:rPr>
        <w:t xml:space="preserve">Derived from advances of money on an export exchange contract </w:t>
      </w:r>
      <w:r w:rsidRPr="00311159">
        <w:rPr>
          <w:rFonts w:eastAsia="Times New Roman"/>
          <w:i/>
          <w:color w:val="000000"/>
          <w:lang w:val="en-GB"/>
        </w:rPr>
        <w:t>(</w:t>
      </w:r>
      <w:proofErr w:type="spellStart"/>
      <w:r w:rsidRPr="00311159">
        <w:rPr>
          <w:rFonts w:eastAsia="Times New Roman"/>
          <w:i/>
          <w:color w:val="000000"/>
          <w:lang w:val="en-GB"/>
        </w:rPr>
        <w:t>Adiantamento</w:t>
      </w:r>
      <w:proofErr w:type="spellEnd"/>
      <w:r w:rsidRPr="00311159">
        <w:rPr>
          <w:rFonts w:eastAsia="Times New Roman"/>
          <w:i/>
          <w:color w:val="000000"/>
          <w:lang w:val="en-GB"/>
        </w:rPr>
        <w:t xml:space="preserve"> </w:t>
      </w:r>
      <w:proofErr w:type="spellStart"/>
      <w:r w:rsidRPr="00311159">
        <w:rPr>
          <w:rFonts w:eastAsia="Times New Roman"/>
          <w:i/>
          <w:color w:val="000000"/>
          <w:lang w:val="en-GB"/>
        </w:rPr>
        <w:t>sobre</w:t>
      </w:r>
      <w:proofErr w:type="spellEnd"/>
      <w:r w:rsidRPr="00311159">
        <w:rPr>
          <w:rFonts w:eastAsia="Times New Roman"/>
          <w:i/>
          <w:color w:val="000000"/>
          <w:lang w:val="en-GB"/>
        </w:rPr>
        <w:t xml:space="preserve"> </w:t>
      </w:r>
      <w:proofErr w:type="spellStart"/>
      <w:r w:rsidRPr="00311159">
        <w:rPr>
          <w:rFonts w:eastAsia="Times New Roman"/>
          <w:i/>
          <w:color w:val="000000"/>
          <w:lang w:val="en-GB"/>
        </w:rPr>
        <w:t>Contrato</w:t>
      </w:r>
      <w:proofErr w:type="spellEnd"/>
      <w:r w:rsidRPr="00311159">
        <w:rPr>
          <w:rFonts w:eastAsia="Times New Roman"/>
          <w:i/>
          <w:color w:val="000000"/>
          <w:lang w:val="en-GB"/>
        </w:rPr>
        <w:t xml:space="preserve"> de </w:t>
      </w:r>
      <w:proofErr w:type="spellStart"/>
      <w:r w:rsidRPr="00311159">
        <w:rPr>
          <w:rFonts w:eastAsia="Times New Roman"/>
          <w:i/>
          <w:color w:val="000000"/>
          <w:lang w:val="en-GB"/>
        </w:rPr>
        <w:t>Câmbio</w:t>
      </w:r>
      <w:proofErr w:type="spellEnd"/>
      <w:r w:rsidRPr="00311159">
        <w:rPr>
          <w:rFonts w:eastAsia="Times New Roman"/>
          <w:i/>
          <w:color w:val="000000"/>
          <w:lang w:val="en-GB"/>
        </w:rPr>
        <w:t xml:space="preserve"> </w:t>
      </w:r>
      <w:r w:rsidR="00774721">
        <w:rPr>
          <w:rFonts w:eastAsia="Times New Roman"/>
          <w:color w:val="000000"/>
          <w:lang w:val="en-GB"/>
        </w:rPr>
        <w:t xml:space="preserve">– </w:t>
      </w:r>
      <w:r w:rsidRPr="00311159">
        <w:rPr>
          <w:rFonts w:eastAsia="Times New Roman"/>
          <w:i/>
          <w:color w:val="000000"/>
          <w:lang w:val="en-GB"/>
        </w:rPr>
        <w:t>ACC).</w:t>
      </w:r>
    </w:p>
    <w:p w14:paraId="6272CE89" w14:textId="77777777" w:rsidR="00843086" w:rsidRPr="00311159" w:rsidRDefault="00843086" w:rsidP="00E22BA4">
      <w:pPr>
        <w:textAlignment w:val="baseline"/>
        <w:rPr>
          <w:rFonts w:eastAsia="Times New Roman"/>
          <w:color w:val="000000"/>
          <w:lang w:val="en-GB"/>
        </w:rPr>
      </w:pPr>
      <w:r w:rsidRPr="00311159">
        <w:rPr>
          <w:rFonts w:eastAsia="Times New Roman"/>
          <w:color w:val="000000"/>
          <w:spacing w:val="2"/>
          <w:lang w:val="en-GB"/>
        </w:rPr>
        <w:t xml:space="preserve">Also, article 84 of the BBL establishes that post-petition claims </w:t>
      </w:r>
      <w:r w:rsidRPr="00311159">
        <w:rPr>
          <w:rFonts w:eastAsia="Times New Roman"/>
          <w:i/>
          <w:color w:val="000000"/>
          <w:spacing w:val="2"/>
          <w:lang w:val="en-GB"/>
        </w:rPr>
        <w:t>(</w:t>
      </w:r>
      <w:proofErr w:type="spellStart"/>
      <w:r w:rsidRPr="00311159">
        <w:rPr>
          <w:rFonts w:eastAsia="Times New Roman"/>
          <w:i/>
          <w:color w:val="000000"/>
          <w:spacing w:val="2"/>
          <w:lang w:val="en-GB"/>
        </w:rPr>
        <w:t>créditos</w:t>
      </w:r>
      <w:proofErr w:type="spellEnd"/>
      <w:r w:rsidRPr="00311159">
        <w:rPr>
          <w:rFonts w:eastAsia="Times New Roman"/>
          <w:i/>
          <w:color w:val="000000"/>
          <w:spacing w:val="2"/>
          <w:lang w:val="en-GB"/>
        </w:rPr>
        <w:t xml:space="preserve"> </w:t>
      </w:r>
      <w:proofErr w:type="spellStart"/>
      <w:r w:rsidRPr="00311159">
        <w:rPr>
          <w:rFonts w:eastAsia="Times New Roman"/>
          <w:i/>
          <w:color w:val="000000"/>
          <w:spacing w:val="2"/>
          <w:lang w:val="en-GB"/>
        </w:rPr>
        <w:t>extraconcursais</w:t>
      </w:r>
      <w:proofErr w:type="spellEnd"/>
      <w:r w:rsidRPr="00311159">
        <w:rPr>
          <w:rFonts w:eastAsia="Times New Roman"/>
          <w:i/>
          <w:color w:val="000000"/>
          <w:spacing w:val="2"/>
          <w:lang w:val="en-GB"/>
        </w:rPr>
        <w:t xml:space="preserve">) </w:t>
      </w:r>
      <w:r w:rsidRPr="00311159">
        <w:rPr>
          <w:rFonts w:eastAsia="Times New Roman"/>
          <w:color w:val="000000"/>
          <w:spacing w:val="2"/>
          <w:lang w:val="en-GB"/>
        </w:rPr>
        <w:t>have preference of payment over all other claims ranked by article 83 of the BBL. Post-petition claims include the expenses of the estate during the bankruptcy liquidation. If the bankruptcy liquidation was the result of a conversion from a judicial reorganisation, the post-petition claims include the debts incurred by the debtor during the judicial reorganisation.</w:t>
      </w:r>
      <w:r w:rsidRPr="00311159">
        <w:rPr>
          <w:rFonts w:eastAsia="Times New Roman"/>
          <w:color w:val="000000"/>
          <w:lang w:val="en-GB"/>
        </w:rPr>
        <w:t xml:space="preserve"> When a claim is guaranteed by a specific asset (</w:t>
      </w:r>
      <w:proofErr w:type="spellStart"/>
      <w:r w:rsidRPr="00311159">
        <w:rPr>
          <w:rFonts w:eastAsia="Times New Roman"/>
          <w:color w:val="000000"/>
          <w:lang w:val="en-GB"/>
        </w:rPr>
        <w:t>i.e</w:t>
      </w:r>
      <w:proofErr w:type="spellEnd"/>
      <w:r w:rsidRPr="00311159">
        <w:rPr>
          <w:rFonts w:eastAsia="Times New Roman"/>
          <w:color w:val="000000"/>
          <w:lang w:val="en-GB"/>
        </w:rPr>
        <w:t xml:space="preserve">, </w:t>
      </w:r>
      <w:r w:rsidRPr="00311159">
        <w:rPr>
          <w:rFonts w:eastAsia="Bookman Old Style"/>
          <w:i/>
          <w:color w:val="000000"/>
          <w:lang w:val="en-GB"/>
        </w:rPr>
        <w:t xml:space="preserve">in rem </w:t>
      </w:r>
      <w:r w:rsidRPr="00311159">
        <w:rPr>
          <w:rFonts w:eastAsia="Times New Roman"/>
          <w:color w:val="000000"/>
          <w:lang w:val="en-GB"/>
        </w:rPr>
        <w:t>guarantee), the creditor will receive the exact amount raised by selling the respective asset. The portion of the claim beyond the respective asset’s sale proceeds could qualify as an unsecured claim.</w:t>
      </w:r>
    </w:p>
    <w:p w14:paraId="696A544E"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As a rule, interest is only paid if there are sufficient funds to pay the principal owed to all creditors; usually, creditors start receiving payments of the principal within a few months from sale of the estate’s assets.</w:t>
      </w:r>
    </w:p>
    <w:p w14:paraId="2F311BD0" w14:textId="47D6E653" w:rsidR="00843086" w:rsidRPr="00310E7C" w:rsidRDefault="00317D29" w:rsidP="00E22BA4">
      <w:pPr>
        <w:pStyle w:val="Titre3"/>
        <w:numPr>
          <w:ilvl w:val="0"/>
          <w:numId w:val="0"/>
        </w:numPr>
        <w:ind w:left="2124"/>
        <w:rPr>
          <w:rFonts w:eastAsia="Bookman Old Style"/>
          <w:b w:val="0"/>
          <w:lang w:val="en-US"/>
        </w:rPr>
      </w:pPr>
      <w:r w:rsidRPr="00310E7C">
        <w:rPr>
          <w:rFonts w:eastAsia="Bookman Old Style"/>
          <w:lang w:val="en-US"/>
        </w:rPr>
        <w:t>4)</w:t>
      </w:r>
      <w:r w:rsidR="00B05950" w:rsidRPr="00310E7C">
        <w:rPr>
          <w:rFonts w:eastAsia="Bookman Old Style"/>
          <w:lang w:val="en-US"/>
        </w:rPr>
        <w:t xml:space="preserve"> </w:t>
      </w:r>
      <w:r w:rsidR="00843086" w:rsidRPr="00310E7C">
        <w:rPr>
          <w:rFonts w:eastAsia="Bookman Old Style"/>
          <w:lang w:val="en-US"/>
        </w:rPr>
        <w:t>Treatment of avoidable dispositions and executory contracts</w:t>
      </w:r>
    </w:p>
    <w:p w14:paraId="0A04CE7C"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 contract continues to be performed if the trustee, upon authorization of the committee of creditors (if any), considers it in the best interests of the company. If the trustee or the committee determines that continuing a contract is detrimental to the estate, it must is terminated or set aside.</w:t>
      </w:r>
    </w:p>
    <w:p w14:paraId="75722F4E" w14:textId="5EE90FA0" w:rsidR="00843086" w:rsidRPr="00310E7C" w:rsidRDefault="00317D29" w:rsidP="00E22BA4">
      <w:pPr>
        <w:pStyle w:val="Titre3"/>
        <w:numPr>
          <w:ilvl w:val="0"/>
          <w:numId w:val="0"/>
        </w:numPr>
        <w:ind w:left="2124"/>
        <w:rPr>
          <w:rFonts w:eastAsia="Bookman Old Style"/>
          <w:b w:val="0"/>
          <w:lang w:val="en-US"/>
        </w:rPr>
      </w:pPr>
      <w:r w:rsidRPr="00310E7C">
        <w:rPr>
          <w:rFonts w:eastAsia="Bookman Old Style"/>
          <w:lang w:val="en-US"/>
        </w:rPr>
        <w:t>5)</w:t>
      </w:r>
      <w:r w:rsidR="00B05950" w:rsidRPr="00310E7C">
        <w:rPr>
          <w:rFonts w:eastAsia="Bookman Old Style"/>
          <w:lang w:val="en-US"/>
        </w:rPr>
        <w:t xml:space="preserve"> </w:t>
      </w:r>
      <w:r w:rsidR="00843086" w:rsidRPr="00310E7C">
        <w:rPr>
          <w:rFonts w:eastAsia="Bookman Old Style"/>
          <w:lang w:val="en-US"/>
        </w:rPr>
        <w:t>Position of employees</w:t>
      </w:r>
    </w:p>
    <w:p w14:paraId="388DAF62" w14:textId="77777777" w:rsidR="00843086" w:rsidRPr="00311159" w:rsidRDefault="00843086" w:rsidP="00E22BA4">
      <w:pPr>
        <w:textAlignment w:val="baseline"/>
        <w:rPr>
          <w:rFonts w:eastAsia="Times New Roman"/>
          <w:color w:val="000000"/>
          <w:spacing w:val="3"/>
          <w:lang w:val="en-GB"/>
        </w:rPr>
      </w:pPr>
      <w:r w:rsidRPr="00311159">
        <w:rPr>
          <w:rFonts w:eastAsia="Times New Roman"/>
          <w:color w:val="000000"/>
          <w:spacing w:val="3"/>
          <w:lang w:val="en-GB"/>
        </w:rPr>
        <w:t>If the company continues to operate, particularly if the intention is to sell the business as a going concern, the jobs are kept and the wages resulting from the services provided after the adjudication of bankruptcy must be paid on time. Conversely, if the company’s activity is discontinued as a result of the adjudication of bankruptcy, its employees will be dismissed and must file the respective labour claim with the labour courts to have their claims recognised and, after that, file their proof of credit.</w:t>
      </w:r>
    </w:p>
    <w:p w14:paraId="1E008FCC" w14:textId="2E09440B" w:rsidR="00560417" w:rsidRPr="00311159" w:rsidRDefault="00843086" w:rsidP="00E22BA4">
      <w:pPr>
        <w:textAlignment w:val="baseline"/>
        <w:rPr>
          <w:rFonts w:eastAsia="Times New Roman"/>
          <w:color w:val="000000"/>
          <w:spacing w:val="2"/>
          <w:lang w:val="en-GB"/>
        </w:rPr>
      </w:pPr>
      <w:r w:rsidRPr="00311159">
        <w:rPr>
          <w:rFonts w:eastAsia="Times New Roman"/>
          <w:color w:val="000000"/>
          <w:spacing w:val="2"/>
          <w:lang w:val="en-GB"/>
        </w:rPr>
        <w:t xml:space="preserve">Moreover, creditors holding labour claims make up a separate class for voting purposes in the general meeting of creditors and </w:t>
      </w:r>
      <w:r w:rsidRPr="00311159">
        <w:rPr>
          <w:rFonts w:eastAsia="Times New Roman"/>
          <w:color w:val="000000"/>
          <w:spacing w:val="2"/>
          <w:lang w:val="en-GB"/>
        </w:rPr>
        <w:lastRenderedPageBreak/>
        <w:t>may appoint a representative to sit on the creditors’ committee, if instated. Finally, creditors holding labour claims may propose to the general meeting of creditors alternatives for realisation of assets.</w:t>
      </w:r>
    </w:p>
    <w:p w14:paraId="39D06A89" w14:textId="268D606B" w:rsidR="00843086" w:rsidRPr="00B05950" w:rsidRDefault="00843086" w:rsidP="00E22BA4">
      <w:pPr>
        <w:pStyle w:val="Titre2"/>
        <w:rPr>
          <w:rFonts w:eastAsia="Bookman Old Style"/>
          <w:b w:val="0"/>
        </w:rPr>
      </w:pPr>
      <w:r w:rsidRPr="00311159">
        <w:rPr>
          <w:rFonts w:eastAsia="Bookman Old Style"/>
          <w:szCs w:val="24"/>
        </w:rPr>
        <w:t>Rescue procedure(s)</w:t>
      </w:r>
    </w:p>
    <w:p w14:paraId="2B3BDCFD" w14:textId="18B8C08A" w:rsidR="00843086" w:rsidRPr="00B05950" w:rsidRDefault="00843086" w:rsidP="00E22BA4">
      <w:pPr>
        <w:textAlignment w:val="baseline"/>
        <w:rPr>
          <w:rFonts w:eastAsia="Times New Roman"/>
          <w:color w:val="000000"/>
          <w:lang w:val="en-GB"/>
        </w:rPr>
      </w:pPr>
      <w:r w:rsidRPr="00311159">
        <w:rPr>
          <w:rFonts w:eastAsia="Times New Roman"/>
          <w:color w:val="000000"/>
          <w:lang w:val="en-GB"/>
        </w:rPr>
        <w:t xml:space="preserve">The BBL set forth two new rescue proceedings, the </w:t>
      </w:r>
      <w:proofErr w:type="spellStart"/>
      <w:r w:rsidRPr="00311159">
        <w:rPr>
          <w:rFonts w:eastAsia="Bookman Old Style"/>
          <w:i/>
          <w:color w:val="000000"/>
          <w:lang w:val="en-GB"/>
        </w:rPr>
        <w:t>recuperação</w:t>
      </w:r>
      <w:proofErr w:type="spellEnd"/>
      <w:r w:rsidRPr="00311159">
        <w:rPr>
          <w:rFonts w:eastAsia="Bookman Old Style"/>
          <w:i/>
          <w:color w:val="000000"/>
          <w:lang w:val="en-GB"/>
        </w:rPr>
        <w:t xml:space="preserve"> judicial </w:t>
      </w:r>
      <w:r w:rsidRPr="00311159">
        <w:rPr>
          <w:rFonts w:eastAsia="Times New Roman"/>
          <w:color w:val="000000"/>
          <w:lang w:val="en-GB"/>
        </w:rPr>
        <w:t xml:space="preserve">(judicial reorganisation) (item </w:t>
      </w:r>
      <w:r w:rsidRPr="00311159">
        <w:rPr>
          <w:rFonts w:eastAsia="Bookman Old Style"/>
          <w:color w:val="000000"/>
          <w:lang w:val="en-GB"/>
        </w:rPr>
        <w:t xml:space="preserve">6.2.2.1 </w:t>
      </w:r>
      <w:r w:rsidRPr="00311159">
        <w:rPr>
          <w:rFonts w:eastAsia="Times New Roman"/>
          <w:color w:val="000000"/>
          <w:lang w:val="en-GB"/>
        </w:rPr>
        <w:t xml:space="preserve">below) and the </w:t>
      </w:r>
      <w:proofErr w:type="spellStart"/>
      <w:r w:rsidRPr="00311159">
        <w:rPr>
          <w:rFonts w:eastAsia="Bookman Old Style"/>
          <w:i/>
          <w:color w:val="000000"/>
          <w:lang w:val="en-GB"/>
        </w:rPr>
        <w:t>recuperação</w:t>
      </w:r>
      <w:proofErr w:type="spellEnd"/>
      <w:r w:rsidRPr="00311159">
        <w:rPr>
          <w:rFonts w:eastAsia="Bookman Old Style"/>
          <w:i/>
          <w:color w:val="000000"/>
          <w:lang w:val="en-GB"/>
        </w:rPr>
        <w:t xml:space="preserve"> extrajudicial </w:t>
      </w:r>
      <w:r w:rsidRPr="00311159">
        <w:rPr>
          <w:rFonts w:eastAsia="Times New Roman"/>
          <w:color w:val="000000"/>
          <w:lang w:val="en-GB"/>
        </w:rPr>
        <w:t xml:space="preserve">(out-of-court reorganisation) (item </w:t>
      </w:r>
      <w:r w:rsidRPr="00311159">
        <w:rPr>
          <w:rFonts w:eastAsia="Bookman Old Style"/>
          <w:color w:val="000000"/>
          <w:lang w:val="en-GB"/>
        </w:rPr>
        <w:t xml:space="preserve">6.2.4 </w:t>
      </w:r>
      <w:r w:rsidRPr="00311159">
        <w:rPr>
          <w:rFonts w:eastAsia="Times New Roman"/>
          <w:color w:val="000000"/>
          <w:lang w:val="en-GB"/>
        </w:rPr>
        <w:t>below), both of which authorise debtors to obtain court confirmation of reorganisation plans negotiated directly with their creditors.</w:t>
      </w:r>
    </w:p>
    <w:p w14:paraId="329999B9" w14:textId="090AE0C8" w:rsidR="00843086" w:rsidRPr="00310E7C" w:rsidRDefault="00843086" w:rsidP="00E22BA4">
      <w:pPr>
        <w:pStyle w:val="Titre3"/>
        <w:numPr>
          <w:ilvl w:val="0"/>
          <w:numId w:val="0"/>
        </w:numPr>
        <w:ind w:left="2124"/>
        <w:rPr>
          <w:rFonts w:eastAsia="Arial"/>
          <w:b w:val="0"/>
          <w:i w:val="0"/>
          <w:lang w:val="en-US"/>
        </w:rPr>
      </w:pPr>
      <w:r w:rsidRPr="00310E7C">
        <w:rPr>
          <w:rFonts w:eastAsia="Bookman Old Style"/>
          <w:lang w:val="en-US"/>
        </w:rPr>
        <w:t xml:space="preserve">Judicial </w:t>
      </w:r>
      <w:proofErr w:type="spellStart"/>
      <w:r w:rsidRPr="00310E7C">
        <w:rPr>
          <w:rFonts w:eastAsia="Bookman Old Style"/>
          <w:lang w:val="en-US"/>
        </w:rPr>
        <w:t>reorganisation</w:t>
      </w:r>
      <w:proofErr w:type="spellEnd"/>
    </w:p>
    <w:p w14:paraId="49AB1072" w14:textId="4C937E25" w:rsidR="00843086" w:rsidRPr="00311159" w:rsidRDefault="00843086" w:rsidP="00E22BA4">
      <w:pPr>
        <w:textAlignment w:val="baseline"/>
        <w:rPr>
          <w:rFonts w:eastAsia="Times New Roman"/>
          <w:color w:val="000000"/>
          <w:spacing w:val="-1"/>
          <w:lang w:val="en-GB"/>
        </w:rPr>
      </w:pPr>
      <w:r w:rsidRPr="00311159">
        <w:rPr>
          <w:rFonts w:eastAsia="Times New Roman"/>
          <w:color w:val="000000"/>
          <w:spacing w:val="-1"/>
          <w:lang w:val="en-GB"/>
        </w:rPr>
        <w:t xml:space="preserve">Judicial reorganisation is a court-supervised proceeding </w:t>
      </w:r>
      <w:r w:rsidR="00774721">
        <w:rPr>
          <w:rFonts w:eastAsia="Times New Roman"/>
          <w:color w:val="000000"/>
          <w:lang w:val="en-GB"/>
        </w:rPr>
        <w:t>–</w:t>
      </w:r>
      <w:r w:rsidRPr="00311159">
        <w:rPr>
          <w:rFonts w:eastAsia="Times New Roman"/>
          <w:color w:val="000000"/>
          <w:spacing w:val="-1"/>
          <w:lang w:val="en-GB"/>
        </w:rPr>
        <w:t xml:space="preserve"> similar to Chapter </w:t>
      </w:r>
      <w:r w:rsidRPr="00311159">
        <w:rPr>
          <w:rFonts w:eastAsia="Bookman Old Style"/>
          <w:color w:val="000000"/>
          <w:spacing w:val="-1"/>
          <w:lang w:val="en-GB"/>
        </w:rPr>
        <w:t xml:space="preserve">11 </w:t>
      </w:r>
      <w:r w:rsidRPr="00311159">
        <w:rPr>
          <w:rFonts w:eastAsia="Times New Roman"/>
          <w:color w:val="000000"/>
          <w:spacing w:val="-1"/>
          <w:lang w:val="en-GB"/>
        </w:rPr>
        <w:t xml:space="preserve">reorganisations under the US Bankruptcy Code </w:t>
      </w:r>
      <w:r w:rsidR="00774721">
        <w:rPr>
          <w:rFonts w:eastAsia="Times New Roman"/>
          <w:color w:val="000000"/>
          <w:lang w:val="en-GB"/>
        </w:rPr>
        <w:t>–</w:t>
      </w:r>
      <w:r w:rsidRPr="00311159">
        <w:rPr>
          <w:rFonts w:eastAsia="Times New Roman"/>
          <w:color w:val="000000"/>
          <w:spacing w:val="-1"/>
          <w:lang w:val="en-GB"/>
        </w:rPr>
        <w:t xml:space="preserve"> aimed to make it possible for a debtor to overcome economic and financial difficulty, allowing it to maintain its production source, its workforce, the interests of its creditors, and to preserve the company and its social function so as to foster economic activity (Article 47, BBL).</w:t>
      </w:r>
    </w:p>
    <w:p w14:paraId="42A2AEC5" w14:textId="77777777" w:rsidR="00843086" w:rsidRPr="00311159" w:rsidRDefault="00843086" w:rsidP="00E22BA4">
      <w:pPr>
        <w:textAlignment w:val="baseline"/>
        <w:rPr>
          <w:rFonts w:eastAsia="Times New Roman"/>
          <w:color w:val="000000"/>
          <w:spacing w:val="4"/>
          <w:lang w:val="en-GB"/>
        </w:rPr>
      </w:pPr>
      <w:r w:rsidRPr="00311159">
        <w:rPr>
          <w:rFonts w:eastAsia="Times New Roman"/>
          <w:color w:val="000000"/>
          <w:spacing w:val="4"/>
          <w:lang w:val="en-GB"/>
        </w:rPr>
        <w:t>Although it is a great step forward in relation to the former preventive bankruptcy, the process of judicial reorganisation entails a high cost, may be time consuming, and still generates a whole series of uncertainties, as the law is relatively new and has been little tested in certain aspects. Furthermore, if the plan is not approved by the creditors, there is the risk of bankruptcy being proclaimed.</w:t>
      </w:r>
    </w:p>
    <w:p w14:paraId="76178EBC" w14:textId="77777777" w:rsidR="00843086" w:rsidRPr="00311159" w:rsidRDefault="00843086" w:rsidP="00E22BA4">
      <w:pPr>
        <w:textAlignment w:val="baseline"/>
        <w:rPr>
          <w:rFonts w:eastAsia="Times New Roman"/>
          <w:color w:val="000000"/>
          <w:spacing w:val="2"/>
          <w:lang w:val="en-GB"/>
        </w:rPr>
      </w:pPr>
      <w:r w:rsidRPr="00311159">
        <w:rPr>
          <w:rFonts w:eastAsia="Times New Roman"/>
          <w:color w:val="000000"/>
          <w:spacing w:val="2"/>
          <w:lang w:val="en-GB"/>
        </w:rPr>
        <w:t>Judicial reorganisation is, at present, the most wide-ranging procedure for protection of the debtor, and it is to be recommended when there is no other viable alternative (informal work-out or out-of-court reorganisation), or when the effects produced by judicial reorganisation are not minimally useful to the debtor (the creditors covered by the plan account for a very small percentage of total liabilities, for example).</w:t>
      </w:r>
    </w:p>
    <w:p w14:paraId="00CBB3F8"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In practical terms, it must be understood whether the debtor has a viable activity (a requisite for granting reorganisation), and if the plan to be proposed, once approved, will produce the necessary effects, given that various groups of creditors will not be covered by its effects. It is necessary to understand whether the debtor will be able to negotiate satisfactorily with creditors excluded from the judicial reorganisation and with any essential suppliers, and how the tax and social security liabilities can be handled.</w:t>
      </w:r>
    </w:p>
    <w:p w14:paraId="708F6474" w14:textId="02BF358B" w:rsidR="00843086" w:rsidRPr="00310E7C" w:rsidRDefault="00843086" w:rsidP="00E22BA4">
      <w:pPr>
        <w:pStyle w:val="Titre3"/>
        <w:numPr>
          <w:ilvl w:val="0"/>
          <w:numId w:val="0"/>
        </w:numPr>
        <w:ind w:left="1776"/>
        <w:rPr>
          <w:rFonts w:eastAsia="Bookman Old Style"/>
          <w:b w:val="0"/>
          <w:lang w:val="en-US"/>
        </w:rPr>
      </w:pPr>
      <w:r w:rsidRPr="00310E7C">
        <w:rPr>
          <w:rFonts w:eastAsia="Bookman Old Style"/>
          <w:lang w:val="en-US"/>
        </w:rPr>
        <w:t>Eligibility</w:t>
      </w:r>
    </w:p>
    <w:p w14:paraId="480DB628" w14:textId="1AC6B2C6"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 xml:space="preserve">A petition for judicial reorganisation can be filed with the court by a debtor (or the surviving spouse, heir or executor of an individual business debtor), or a partner or shareholder of a </w:t>
      </w:r>
      <w:r w:rsidRPr="00311159">
        <w:rPr>
          <w:rFonts w:eastAsia="Times New Roman"/>
          <w:color w:val="000000"/>
          <w:lang w:val="en-GB"/>
        </w:rPr>
        <w:lastRenderedPageBreak/>
        <w:t xml:space="preserve">debtor company. The creditors </w:t>
      </w:r>
      <w:r w:rsidR="00774721">
        <w:rPr>
          <w:rFonts w:eastAsia="Times New Roman"/>
          <w:color w:val="000000"/>
          <w:lang w:val="en-GB"/>
        </w:rPr>
        <w:t>–</w:t>
      </w:r>
      <w:r w:rsidRPr="00311159">
        <w:rPr>
          <w:rFonts w:eastAsia="Times New Roman"/>
          <w:color w:val="000000"/>
          <w:lang w:val="en-GB"/>
        </w:rPr>
        <w:t xml:space="preserve"> regardless of their concern about the debtor’s need to submit to a reorganisation plan </w:t>
      </w:r>
      <w:r w:rsidR="00774721">
        <w:rPr>
          <w:rFonts w:eastAsia="Times New Roman"/>
          <w:color w:val="000000"/>
          <w:lang w:val="en-GB"/>
        </w:rPr>
        <w:t>–</w:t>
      </w:r>
      <w:r w:rsidRPr="00311159">
        <w:rPr>
          <w:rFonts w:eastAsia="Times New Roman"/>
          <w:color w:val="000000"/>
          <w:lang w:val="en-GB"/>
        </w:rPr>
        <w:t xml:space="preserve"> continue to be at the mercy of any initiative taken by the debtor </w:t>
      </w:r>
      <w:r w:rsidRPr="00311159">
        <w:rPr>
          <w:rStyle w:val="Marquenotebasdepage"/>
          <w:rFonts w:eastAsia="Times New Roman"/>
          <w:color w:val="000000"/>
          <w:lang w:val="en-GB"/>
        </w:rPr>
        <w:footnoteReference w:id="17"/>
      </w:r>
      <w:r w:rsidRPr="00311159">
        <w:rPr>
          <w:rFonts w:eastAsia="Times New Roman"/>
          <w:color w:val="000000"/>
          <w:lang w:val="en-GB"/>
        </w:rPr>
        <w:t>.</w:t>
      </w:r>
    </w:p>
    <w:p w14:paraId="5111F013"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 petition must contain a statement of the material causes of the debtor’s indebtedness and of the reasons for its economic and financial crisis; further, it must be supported by certain documents, such as:</w:t>
      </w:r>
    </w:p>
    <w:p w14:paraId="6DEEDACF" w14:textId="562B1A52" w:rsidR="00843086" w:rsidRPr="00310E7C" w:rsidRDefault="00310E7C" w:rsidP="00310E7C">
      <w:pPr>
        <w:textAlignment w:val="baseline"/>
        <w:rPr>
          <w:rFonts w:eastAsia="Times New Roman"/>
          <w:color w:val="000000"/>
          <w:spacing w:val="2"/>
          <w:lang w:val="en-GB"/>
        </w:rPr>
      </w:pPr>
      <w:r>
        <w:t>–</w:t>
      </w:r>
      <w:r>
        <w:rPr>
          <w:rFonts w:eastAsia="Times New Roman"/>
          <w:color w:val="000000"/>
          <w:lang w:val="en-GB"/>
        </w:rPr>
        <w:t xml:space="preserve"> A</w:t>
      </w:r>
      <w:r w:rsidR="00843086" w:rsidRPr="00310E7C">
        <w:rPr>
          <w:rFonts w:eastAsia="Times New Roman"/>
          <w:color w:val="000000"/>
          <w:lang w:val="en-GB"/>
        </w:rPr>
        <w:t>ccounting Statements: Accounting statements for the last three fiscal/financial years, in addition to those drawn up specially to support the petition, prepared in strict compliance with the applicable corporate legislation. Such financial statements shall necessarily include:</w:t>
      </w:r>
      <w:r w:rsidR="004D1DED" w:rsidRPr="00310E7C">
        <w:rPr>
          <w:rFonts w:eastAsia="Times New Roman"/>
          <w:color w:val="000000"/>
          <w:spacing w:val="1"/>
          <w:lang w:val="en-GB"/>
        </w:rPr>
        <w:t xml:space="preserve"> </w:t>
      </w:r>
      <w:r w:rsidR="00843086" w:rsidRPr="00310E7C">
        <w:rPr>
          <w:rFonts w:eastAsia="Times New Roman"/>
          <w:color w:val="000000"/>
          <w:spacing w:val="1"/>
          <w:lang w:val="en-GB"/>
        </w:rPr>
        <w:t>Balance sheets;</w:t>
      </w:r>
      <w:r w:rsidR="004D1DED" w:rsidRPr="00310E7C">
        <w:rPr>
          <w:rFonts w:eastAsia="Times New Roman"/>
          <w:color w:val="000000"/>
          <w:spacing w:val="2"/>
          <w:lang w:val="en-GB"/>
        </w:rPr>
        <w:t xml:space="preserve"> </w:t>
      </w:r>
      <w:r w:rsidR="00843086" w:rsidRPr="00310E7C">
        <w:rPr>
          <w:rFonts w:eastAsia="Times New Roman"/>
          <w:color w:val="000000"/>
          <w:spacing w:val="2"/>
          <w:lang w:val="en-GB"/>
        </w:rPr>
        <w:t>Accrued income statement;</w:t>
      </w:r>
      <w:r w:rsidR="004D1DED" w:rsidRPr="00310E7C">
        <w:rPr>
          <w:rFonts w:eastAsia="Times New Roman"/>
          <w:color w:val="000000"/>
          <w:spacing w:val="2"/>
          <w:lang w:val="en-GB"/>
        </w:rPr>
        <w:t xml:space="preserve"> </w:t>
      </w:r>
      <w:r w:rsidR="00843086" w:rsidRPr="00310E7C">
        <w:rPr>
          <w:rFonts w:eastAsia="Times New Roman"/>
          <w:color w:val="000000"/>
          <w:spacing w:val="2"/>
          <w:lang w:val="en-GB"/>
        </w:rPr>
        <w:t>Income statement as from the last financial/fiscal year; and</w:t>
      </w:r>
      <w:r w:rsidR="004D1DED" w:rsidRPr="00310E7C">
        <w:rPr>
          <w:rFonts w:eastAsia="Times New Roman"/>
          <w:color w:val="000000"/>
          <w:spacing w:val="2"/>
          <w:lang w:val="en-GB"/>
        </w:rPr>
        <w:t xml:space="preserve"> </w:t>
      </w:r>
      <w:r w:rsidR="00843086" w:rsidRPr="00310E7C">
        <w:rPr>
          <w:rFonts w:eastAsia="Times New Roman"/>
          <w:color w:val="000000"/>
          <w:spacing w:val="2"/>
          <w:lang w:val="en-GB"/>
        </w:rPr>
        <w:t>Management report on cash flow and projection thereof.</w:t>
      </w:r>
    </w:p>
    <w:p w14:paraId="7F4D3A8C" w14:textId="39BBDFF6" w:rsidR="00843086" w:rsidRPr="00310E7C" w:rsidRDefault="00310E7C" w:rsidP="00310E7C">
      <w:pPr>
        <w:textAlignment w:val="baseline"/>
        <w:rPr>
          <w:rFonts w:eastAsia="Times New Roman"/>
          <w:color w:val="000000"/>
          <w:lang w:val="en-GB"/>
        </w:rPr>
      </w:pPr>
      <w:r>
        <w:t xml:space="preserve">– </w:t>
      </w:r>
      <w:r w:rsidR="00843086" w:rsidRPr="00310E7C">
        <w:rPr>
          <w:rFonts w:eastAsia="Times New Roman"/>
          <w:color w:val="000000"/>
          <w:lang w:val="en-GB"/>
        </w:rPr>
        <w:t>List of Creditors: A complete nominal list of the creditors including those under an obligation to do or to give, specifying, for each such creditor, the origin and initial due date of credits.</w:t>
      </w:r>
    </w:p>
    <w:p w14:paraId="50CBF6BB" w14:textId="27B41BC6" w:rsidR="00843086" w:rsidRPr="00310E7C" w:rsidRDefault="00843086" w:rsidP="00E22BA4">
      <w:pPr>
        <w:pStyle w:val="Titre3"/>
        <w:numPr>
          <w:ilvl w:val="0"/>
          <w:numId w:val="0"/>
        </w:numPr>
        <w:ind w:left="1416"/>
        <w:rPr>
          <w:rFonts w:eastAsia="Bookman Old Style"/>
          <w:b w:val="0"/>
          <w:lang w:val="en-US"/>
        </w:rPr>
      </w:pPr>
      <w:r w:rsidRPr="00310E7C">
        <w:rPr>
          <w:rFonts w:eastAsia="Bookman Old Style"/>
          <w:lang w:val="en-US"/>
        </w:rPr>
        <w:t>Requirements</w:t>
      </w:r>
    </w:p>
    <w:p w14:paraId="3452C238" w14:textId="15D61104" w:rsidR="00843086" w:rsidRPr="00311159" w:rsidRDefault="00843086" w:rsidP="00E22BA4">
      <w:pPr>
        <w:tabs>
          <w:tab w:val="left" w:pos="0"/>
        </w:tabs>
        <w:spacing w:before="288"/>
        <w:textAlignment w:val="baseline"/>
        <w:rPr>
          <w:rFonts w:eastAsia="Times New Roman"/>
          <w:color w:val="000000"/>
          <w:lang w:val="en-GB"/>
        </w:rPr>
      </w:pPr>
      <w:r w:rsidRPr="00311159">
        <w:rPr>
          <w:rFonts w:eastAsia="Times New Roman"/>
          <w:color w:val="000000"/>
          <w:lang w:val="en-GB"/>
        </w:rPr>
        <w:t>A petition is not accepted by the court if the debtor:</w:t>
      </w:r>
      <w:r w:rsidR="004D1DED" w:rsidRPr="00311159">
        <w:rPr>
          <w:rFonts w:eastAsia="Times New Roman"/>
          <w:color w:val="000000"/>
          <w:lang w:val="en-GB"/>
        </w:rPr>
        <w:t xml:space="preserve"> </w:t>
      </w:r>
      <w:r w:rsidRPr="00311159">
        <w:rPr>
          <w:rFonts w:eastAsia="Times New Roman"/>
          <w:color w:val="000000"/>
          <w:lang w:val="en-GB"/>
        </w:rPr>
        <w:t>Has not been doing business regularly for at least two years;</w:t>
      </w:r>
      <w:r w:rsidR="004D1DED" w:rsidRPr="00311159">
        <w:rPr>
          <w:rFonts w:eastAsia="Times New Roman"/>
          <w:color w:val="000000"/>
          <w:lang w:val="en-GB"/>
        </w:rPr>
        <w:t xml:space="preserve"> </w:t>
      </w:r>
      <w:r w:rsidRPr="00311159">
        <w:rPr>
          <w:rFonts w:eastAsia="Times New Roman"/>
          <w:color w:val="000000"/>
          <w:lang w:val="en-GB"/>
        </w:rPr>
        <w:t>Is bankrupt or has been bankrupt, and the resulting liabilities have not been discharged by the final decision;</w:t>
      </w:r>
      <w:r w:rsidR="004D1DED" w:rsidRPr="00311159">
        <w:rPr>
          <w:rFonts w:eastAsia="Times New Roman"/>
          <w:color w:val="000000"/>
          <w:lang w:val="en-GB"/>
        </w:rPr>
        <w:t xml:space="preserve"> </w:t>
      </w:r>
      <w:r w:rsidRPr="00311159">
        <w:rPr>
          <w:rFonts w:eastAsia="Times New Roman"/>
          <w:color w:val="000000"/>
          <w:lang w:val="en-GB"/>
        </w:rPr>
        <w:t>Has used judicial reorganisation within the previous five years;</w:t>
      </w:r>
      <w:r w:rsidR="004D1DED" w:rsidRPr="00311159">
        <w:rPr>
          <w:rFonts w:eastAsia="Times New Roman"/>
          <w:color w:val="000000"/>
          <w:lang w:val="en-GB"/>
        </w:rPr>
        <w:t xml:space="preserve"> </w:t>
      </w:r>
      <w:r w:rsidRPr="00311159">
        <w:rPr>
          <w:rFonts w:eastAsia="Times New Roman"/>
          <w:color w:val="000000"/>
          <w:lang w:val="en-GB"/>
        </w:rPr>
        <w:t>Is an individual business person who has been convicted of certain crimes, or, in the case of a company, its employees, officers or controlling partners have been convicted of certain crimes.</w:t>
      </w:r>
    </w:p>
    <w:p w14:paraId="02177893" w14:textId="0056E420" w:rsidR="00843086" w:rsidRPr="00310E7C" w:rsidRDefault="00843086" w:rsidP="00E22BA4">
      <w:pPr>
        <w:pStyle w:val="Titre3"/>
        <w:numPr>
          <w:ilvl w:val="0"/>
          <w:numId w:val="0"/>
        </w:numPr>
        <w:ind w:left="1416"/>
        <w:rPr>
          <w:rFonts w:eastAsia="Bookman Old Style"/>
          <w:b w:val="0"/>
          <w:lang w:val="en-US"/>
        </w:rPr>
      </w:pPr>
      <w:r w:rsidRPr="00310E7C">
        <w:rPr>
          <w:rFonts w:eastAsia="Bookman Old Style"/>
          <w:lang w:val="en-US"/>
        </w:rPr>
        <w:t>Summary of th</w:t>
      </w:r>
      <w:r w:rsidR="00183E99">
        <w:rPr>
          <w:rFonts w:eastAsia="Bookman Old Style"/>
          <w:lang w:val="en-US"/>
        </w:rPr>
        <w:t xml:space="preserve">e process from commencement to </w:t>
      </w:r>
      <w:r w:rsidRPr="00310E7C">
        <w:rPr>
          <w:rFonts w:eastAsia="Bookman Old Style"/>
          <w:lang w:val="en-US"/>
        </w:rPr>
        <w:t>conclusion</w:t>
      </w:r>
    </w:p>
    <w:p w14:paraId="59794910"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 xml:space="preserve">The documentation being in order, </w:t>
      </w:r>
      <w:r w:rsidRPr="00310E7C">
        <w:rPr>
          <w:rFonts w:eastAsia="Times New Roman"/>
          <w:color w:val="000000"/>
          <w:lang w:val="en-GB"/>
        </w:rPr>
        <w:t>the court must accept the petition and processing order is granted (“Processing Order”). After the Processing Order, all claims (that are claiming an exact amount against the debtor) and enforcement proceedings against the debtor (except for the enforcement of tax-related debts) are</w:t>
      </w:r>
      <w:r w:rsidRPr="00311159">
        <w:rPr>
          <w:rFonts w:eastAsia="Times New Roman"/>
          <w:color w:val="000000"/>
          <w:lang w:val="en-GB"/>
        </w:rPr>
        <w:t xml:space="preserve"> stayed for a period of </w:t>
      </w:r>
      <w:r w:rsidRPr="00311159">
        <w:rPr>
          <w:rFonts w:eastAsia="Bookman Old Style"/>
          <w:color w:val="000000"/>
          <w:lang w:val="en-GB"/>
        </w:rPr>
        <w:t xml:space="preserve">180 </w:t>
      </w:r>
      <w:r w:rsidRPr="00311159">
        <w:rPr>
          <w:rFonts w:eastAsia="Times New Roman"/>
          <w:color w:val="000000"/>
          <w:lang w:val="en-GB"/>
        </w:rPr>
        <w:t xml:space="preserve">calendar days. In principle, the stay period is non-extendable. However, courts have been allowing its extension upon certain conditions, notably when the debtor itself is not responsible for the delay in the reorganisation procedure. </w:t>
      </w:r>
    </w:p>
    <w:p w14:paraId="1CF4C45B"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After a notice of the Processing Order is published in the official gazette, creditors are given 15 days to prove their claims or challenge the listed claims before the trustee, who is expected to analyse the claims and publish a notice setting forth the new list of creditors produced by him within 45 calendar days as from the end of the period to present a claim.</w:t>
      </w:r>
    </w:p>
    <w:p w14:paraId="751DA3DB"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lastRenderedPageBreak/>
        <w:t>The debtor must present a reorganisation plan within 60 calendar days as from the Processing Order. Once he plan is presented before court, a notice must be published in the official gazette informing that the debtor has presented a reorganisation plan.</w:t>
      </w:r>
    </w:p>
    <w:p w14:paraId="0D240FBC" w14:textId="77777777" w:rsidR="00843086" w:rsidRPr="00311159" w:rsidRDefault="00843086" w:rsidP="00E22BA4">
      <w:pPr>
        <w:textAlignment w:val="baseline"/>
        <w:rPr>
          <w:rFonts w:eastAsia="Times New Roman"/>
          <w:color w:val="000000"/>
          <w:spacing w:val="3"/>
          <w:lang w:val="en-GB"/>
        </w:rPr>
      </w:pPr>
      <w:r w:rsidRPr="00311159">
        <w:rPr>
          <w:rFonts w:eastAsia="Times New Roman"/>
          <w:color w:val="000000"/>
          <w:spacing w:val="3"/>
          <w:lang w:val="en-GB"/>
        </w:rPr>
        <w:t xml:space="preserve">Since the reorganisation proceeding is based on a creditor-approved reorganisation plan (and creditors thus play a central role in this new regime), creditors must approve the reorganisation plan. Therefore, creditors have </w:t>
      </w:r>
      <w:r w:rsidRPr="00311159">
        <w:rPr>
          <w:rFonts w:eastAsia="Bookman Old Style"/>
          <w:color w:val="000000"/>
          <w:spacing w:val="3"/>
          <w:lang w:val="en-GB"/>
        </w:rPr>
        <w:t xml:space="preserve">30 </w:t>
      </w:r>
      <w:r w:rsidRPr="00311159">
        <w:rPr>
          <w:rFonts w:eastAsia="Times New Roman"/>
          <w:color w:val="000000"/>
          <w:spacing w:val="3"/>
          <w:lang w:val="en-GB"/>
        </w:rPr>
        <w:t>calendar days from publication of the abovementioned notice to file oppositions to the proposed reorganisation plan.</w:t>
      </w:r>
    </w:p>
    <w:p w14:paraId="3B7C467C"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If the plan is not opposed by any creditor, it is considered approved by tacit acceptance. However, if any creditor objects to the judicial reorganisation plan, a general meeting of creditors is convened by the judge to try to agree on a satisfactory plan. The meeting must be held within 150 days of the petition being accepted by the court.</w:t>
      </w:r>
    </w:p>
    <w:p w14:paraId="29A8DCD0"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If the meeting of creditors rejects the reorganisation plan, the judge declares the debtor bankrupt. The decision adopted by the meeting of creditors is sovereign, and the judge only acts if anything unlawful is held to occur.</w:t>
      </w:r>
    </w:p>
    <w:p w14:paraId="4E2BE244" w14:textId="4A3A8B1C" w:rsidR="00843086" w:rsidRPr="00310E7C" w:rsidRDefault="00843086" w:rsidP="00E22BA4">
      <w:pPr>
        <w:pStyle w:val="Titre3"/>
        <w:numPr>
          <w:ilvl w:val="0"/>
          <w:numId w:val="0"/>
        </w:numPr>
        <w:ind w:left="1416"/>
        <w:rPr>
          <w:rFonts w:eastAsia="Bookman Old Style"/>
          <w:b w:val="0"/>
          <w:spacing w:val="-2"/>
          <w:lang w:val="en-US"/>
        </w:rPr>
      </w:pPr>
      <w:r w:rsidRPr="00310E7C">
        <w:rPr>
          <w:rFonts w:eastAsia="Bookman Old Style"/>
          <w:lang w:val="en-US"/>
        </w:rPr>
        <w:t>Position of directors (debtor in possession and personal</w:t>
      </w:r>
      <w:r w:rsidRPr="00310E7C">
        <w:rPr>
          <w:rFonts w:eastAsia="Bookman Old Style"/>
          <w:spacing w:val="-2"/>
          <w:lang w:val="en-US"/>
        </w:rPr>
        <w:t xml:space="preserve"> liability if any)</w:t>
      </w:r>
    </w:p>
    <w:p w14:paraId="04942838" w14:textId="46331BC3"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 xml:space="preserve">The debtor’s directors and officers remain in control of the debtor’s business (unless removed for cause). However, the court will appoint a trustee </w:t>
      </w:r>
      <w:r w:rsidRPr="00917A29">
        <w:rPr>
          <w:rFonts w:eastAsia="Times New Roman"/>
          <w:color w:val="000000"/>
          <w:lang w:val="en-GB"/>
        </w:rPr>
        <w:t>(</w:t>
      </w:r>
      <w:proofErr w:type="spellStart"/>
      <w:r w:rsidRPr="00917A29">
        <w:rPr>
          <w:rFonts w:eastAsia="Times New Roman"/>
          <w:color w:val="000000"/>
          <w:lang w:val="en-GB"/>
        </w:rPr>
        <w:t>administrador</w:t>
      </w:r>
      <w:proofErr w:type="spellEnd"/>
      <w:r w:rsidRPr="00917A29">
        <w:rPr>
          <w:rFonts w:eastAsia="Times New Roman"/>
          <w:color w:val="000000"/>
          <w:lang w:val="en-GB"/>
        </w:rPr>
        <w:t xml:space="preserve"> judicial</w:t>
      </w:r>
      <w:r w:rsidRPr="00311159">
        <w:rPr>
          <w:rFonts w:eastAsia="Times New Roman"/>
          <w:i/>
          <w:color w:val="000000"/>
          <w:lang w:val="en-GB"/>
        </w:rPr>
        <w:t xml:space="preserve">) </w:t>
      </w:r>
      <w:r w:rsidRPr="00311159">
        <w:rPr>
          <w:rFonts w:eastAsia="Times New Roman"/>
          <w:color w:val="000000"/>
          <w:lang w:val="en-GB"/>
        </w:rPr>
        <w:t>to oversee the debtor</w:t>
      </w:r>
      <w:r w:rsidRPr="00311159">
        <w:rPr>
          <w:rStyle w:val="Marquenotebasdepage"/>
          <w:rFonts w:eastAsia="Times New Roman"/>
          <w:color w:val="000000"/>
          <w:lang w:val="en-GB"/>
        </w:rPr>
        <w:footnoteReference w:id="18"/>
      </w:r>
      <w:r w:rsidRPr="00311159">
        <w:rPr>
          <w:rFonts w:eastAsia="Times New Roman"/>
          <w:color w:val="000000"/>
          <w:lang w:val="en-GB"/>
        </w:rPr>
        <w:t>.</w:t>
      </w:r>
      <w:r w:rsidRPr="00311159" w:rsidDel="005A5D6B">
        <w:rPr>
          <w:rFonts w:eastAsia="Bookman Old Style"/>
          <w:color w:val="000000"/>
          <w:vertAlign w:val="superscript"/>
          <w:lang w:val="en-GB"/>
        </w:rPr>
        <w:t xml:space="preserve"> </w:t>
      </w:r>
      <w:r w:rsidRPr="00311159">
        <w:rPr>
          <w:rFonts w:eastAsia="Times New Roman"/>
          <w:color w:val="000000"/>
          <w:lang w:val="en-GB"/>
        </w:rPr>
        <w:t>Under certain circumstances, a creditors’ committee (</w:t>
      </w:r>
      <w:proofErr w:type="spellStart"/>
      <w:r w:rsidRPr="00311159">
        <w:rPr>
          <w:rFonts w:eastAsia="Times New Roman"/>
          <w:i/>
          <w:color w:val="000000"/>
          <w:lang w:val="en-GB"/>
        </w:rPr>
        <w:t>comitê</w:t>
      </w:r>
      <w:proofErr w:type="spellEnd"/>
      <w:r w:rsidRPr="00311159">
        <w:rPr>
          <w:rFonts w:eastAsia="Times New Roman"/>
          <w:i/>
          <w:color w:val="000000"/>
          <w:lang w:val="en-GB"/>
        </w:rPr>
        <w:t xml:space="preserve"> de </w:t>
      </w:r>
      <w:proofErr w:type="spellStart"/>
      <w:r w:rsidRPr="00311159">
        <w:rPr>
          <w:rFonts w:eastAsia="Times New Roman"/>
          <w:i/>
          <w:color w:val="000000"/>
          <w:lang w:val="en-GB"/>
        </w:rPr>
        <w:t>credores</w:t>
      </w:r>
      <w:proofErr w:type="spellEnd"/>
      <w:r w:rsidRPr="00311159">
        <w:rPr>
          <w:rFonts w:eastAsia="Times New Roman"/>
          <w:i/>
          <w:color w:val="000000"/>
          <w:lang w:val="en-GB"/>
        </w:rPr>
        <w:t xml:space="preserve">) </w:t>
      </w:r>
      <w:r w:rsidRPr="00311159">
        <w:rPr>
          <w:rFonts w:eastAsia="Times New Roman"/>
          <w:color w:val="000000"/>
          <w:lang w:val="en-GB"/>
        </w:rPr>
        <w:t>may be formed to supervise the trustee and the debtor. The decision on whether to set up a creditors’ committee falls on the general meeting of creditors.</w:t>
      </w:r>
    </w:p>
    <w:p w14:paraId="42D793D5" w14:textId="2FF2A8DD" w:rsidR="00843086" w:rsidRPr="00310E7C" w:rsidRDefault="00843086" w:rsidP="00E22BA4">
      <w:pPr>
        <w:pStyle w:val="Titre3"/>
        <w:numPr>
          <w:ilvl w:val="0"/>
          <w:numId w:val="0"/>
        </w:numPr>
        <w:ind w:left="1416"/>
        <w:rPr>
          <w:rFonts w:eastAsia="Bookman Old Style"/>
          <w:b w:val="0"/>
          <w:lang w:val="en-US"/>
        </w:rPr>
      </w:pPr>
      <w:r w:rsidRPr="00310E7C">
        <w:rPr>
          <w:rFonts w:eastAsia="Bookman Old Style"/>
          <w:lang w:val="en-US"/>
        </w:rPr>
        <w:t xml:space="preserve">Position of rescue </w:t>
      </w:r>
      <w:proofErr w:type="gramStart"/>
      <w:r w:rsidR="004D1DED" w:rsidRPr="00310E7C">
        <w:rPr>
          <w:rFonts w:eastAsia="Bookman Old Style"/>
          <w:lang w:val="en-US"/>
        </w:rPr>
        <w:t>practitioner :</w:t>
      </w:r>
      <w:proofErr w:type="gramEnd"/>
      <w:r w:rsidRPr="00310E7C">
        <w:rPr>
          <w:rFonts w:eastAsia="Bookman Old Style"/>
          <w:lang w:val="en-US"/>
        </w:rPr>
        <w:t xml:space="preserve"> qualifications, appointment, powers and responsibilities</w:t>
      </w:r>
    </w:p>
    <w:p w14:paraId="634F21A7" w14:textId="77777777" w:rsidR="00843086" w:rsidRPr="00311159" w:rsidRDefault="00843086" w:rsidP="00E22BA4">
      <w:pPr>
        <w:spacing w:before="309"/>
        <w:textAlignment w:val="baseline"/>
        <w:rPr>
          <w:rFonts w:eastAsia="Times New Roman"/>
          <w:color w:val="000000"/>
          <w:lang w:val="en-GB"/>
        </w:rPr>
      </w:pPr>
      <w:r w:rsidRPr="00311159">
        <w:rPr>
          <w:rFonts w:eastAsia="Times New Roman"/>
          <w:color w:val="000000"/>
          <w:lang w:val="en-GB"/>
        </w:rPr>
        <w:t>Please see item 4 above.</w:t>
      </w:r>
    </w:p>
    <w:p w14:paraId="6DCAE440" w14:textId="0B44F27E" w:rsidR="00843086" w:rsidRPr="00310E7C" w:rsidRDefault="00843086" w:rsidP="00E22BA4">
      <w:pPr>
        <w:pStyle w:val="Titre3"/>
        <w:numPr>
          <w:ilvl w:val="0"/>
          <w:numId w:val="0"/>
        </w:numPr>
        <w:ind w:left="1416"/>
        <w:rPr>
          <w:rFonts w:eastAsia="Bookman Old Style"/>
          <w:b w:val="0"/>
          <w:lang w:val="en-US"/>
        </w:rPr>
      </w:pPr>
      <w:r w:rsidRPr="00310E7C">
        <w:rPr>
          <w:rFonts w:eastAsia="Bookman Old Style"/>
          <w:lang w:val="en-US"/>
        </w:rPr>
        <w:t>Requirements for the plan, if any, and acceptance (voting)</w:t>
      </w:r>
    </w:p>
    <w:p w14:paraId="1BA34A43"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 reorganisation plan is a document presented in court by the debtor under judicial reorganisation, containing an analysis of its financial and economic condition, as well as evidence of economic feasibility of its business. The plan should list eligible creditors and must include the mechanisms for judicial reorganisation of the company and the proposed order and condition of distributions to creditors.</w:t>
      </w:r>
    </w:p>
    <w:p w14:paraId="6264AC1A" w14:textId="77777777" w:rsidR="00843086" w:rsidRPr="00310E7C" w:rsidRDefault="00843086" w:rsidP="00E22BA4">
      <w:pPr>
        <w:textAlignment w:val="baseline"/>
        <w:rPr>
          <w:rFonts w:eastAsia="Times New Roman"/>
          <w:color w:val="000000"/>
          <w:lang w:val="en-GB"/>
        </w:rPr>
      </w:pPr>
      <w:r w:rsidRPr="00311159">
        <w:rPr>
          <w:rFonts w:eastAsia="Times New Roman"/>
          <w:color w:val="000000"/>
          <w:lang w:val="en-GB"/>
        </w:rPr>
        <w:t xml:space="preserve">The BBL provides an illustrative list of the judicial reorganisation mechanisms that can be adopted by debtors when preparing a </w:t>
      </w:r>
      <w:r w:rsidRPr="00311159">
        <w:rPr>
          <w:rFonts w:eastAsia="Times New Roman"/>
          <w:color w:val="000000"/>
          <w:lang w:val="en-GB"/>
        </w:rPr>
        <w:lastRenderedPageBreak/>
        <w:t>reorganisation plan, which include moratorium, debt restructuring, selling of assets, spin-off, merger or consolidation of a debtor’s business operations, assignment of shares or equity holdings of a company, leasing, and even the dismissal of the controller. The debtor may use a combination of means of reorganisation in the same plan and make different proposals for different groups of creditors.</w:t>
      </w:r>
    </w:p>
    <w:p w14:paraId="4B2B5163" w14:textId="77777777" w:rsidR="00843086" w:rsidRPr="00311159" w:rsidRDefault="00843086" w:rsidP="00E22BA4">
      <w:pPr>
        <w:textAlignment w:val="baseline"/>
        <w:rPr>
          <w:rFonts w:eastAsia="Times New Roman"/>
          <w:color w:val="000000"/>
          <w:lang w:val="en-GB"/>
        </w:rPr>
      </w:pPr>
      <w:r w:rsidRPr="00310E7C">
        <w:rPr>
          <w:rFonts w:eastAsia="Times New Roman"/>
          <w:color w:val="000000"/>
          <w:lang w:val="en-GB"/>
        </w:rPr>
        <w:t>The creditors gathered at a general meeting of creditors (“GMC”) to resolve on the plan may submit proposals to change it. However, the debtor must give its express consent to any changes proposed before they are included in the plan to</w:t>
      </w:r>
      <w:r w:rsidRPr="00311159">
        <w:rPr>
          <w:rFonts w:eastAsia="Times New Roman"/>
          <w:color w:val="000000"/>
          <w:lang w:val="en-GB"/>
        </w:rPr>
        <w:t xml:space="preserve"> be submitted to the GMC for a resolution.</w:t>
      </w:r>
    </w:p>
    <w:p w14:paraId="57DE2B0A" w14:textId="77777777" w:rsidR="00843086" w:rsidRPr="00311159" w:rsidRDefault="00843086" w:rsidP="00E22BA4">
      <w:pPr>
        <w:textAlignment w:val="baseline"/>
        <w:rPr>
          <w:rFonts w:eastAsia="Times New Roman"/>
          <w:color w:val="000000"/>
          <w:spacing w:val="1"/>
          <w:lang w:val="en-GB"/>
        </w:rPr>
      </w:pPr>
      <w:r w:rsidRPr="00311159">
        <w:rPr>
          <w:rFonts w:eastAsia="Times New Roman"/>
          <w:color w:val="000000"/>
          <w:spacing w:val="1"/>
          <w:lang w:val="en-GB"/>
        </w:rPr>
        <w:t>For resolution purposes, the creditors are divided into four groups, namely:</w:t>
      </w:r>
    </w:p>
    <w:p w14:paraId="012603F1" w14:textId="77777777" w:rsidR="00843086" w:rsidRPr="00311159" w:rsidRDefault="00843086" w:rsidP="00E22BA4">
      <w:pPr>
        <w:numPr>
          <w:ilvl w:val="0"/>
          <w:numId w:val="24"/>
        </w:numPr>
        <w:tabs>
          <w:tab w:val="left" w:pos="1080"/>
        </w:tabs>
        <w:jc w:val="left"/>
        <w:textAlignment w:val="baseline"/>
        <w:rPr>
          <w:rFonts w:eastAsia="Times New Roman"/>
          <w:color w:val="000000"/>
          <w:spacing w:val="2"/>
          <w:lang w:val="en-GB"/>
        </w:rPr>
      </w:pPr>
      <w:r w:rsidRPr="00311159">
        <w:rPr>
          <w:rFonts w:eastAsia="Times New Roman"/>
          <w:color w:val="000000"/>
          <w:spacing w:val="2"/>
          <w:lang w:val="en-GB"/>
        </w:rPr>
        <w:t>Creditors with labour-related claims;</w:t>
      </w:r>
    </w:p>
    <w:p w14:paraId="2A71D7D8" w14:textId="77777777" w:rsidR="00843086" w:rsidRPr="00311159" w:rsidRDefault="00843086" w:rsidP="00E22BA4">
      <w:pPr>
        <w:numPr>
          <w:ilvl w:val="0"/>
          <w:numId w:val="24"/>
        </w:numPr>
        <w:tabs>
          <w:tab w:val="left" w:pos="1080"/>
        </w:tabs>
        <w:jc w:val="left"/>
        <w:textAlignment w:val="baseline"/>
        <w:rPr>
          <w:rFonts w:eastAsia="Times New Roman"/>
          <w:color w:val="000000"/>
          <w:spacing w:val="2"/>
          <w:lang w:val="en-GB"/>
        </w:rPr>
      </w:pPr>
      <w:r w:rsidRPr="00311159">
        <w:rPr>
          <w:rFonts w:eastAsia="Times New Roman"/>
          <w:color w:val="000000"/>
          <w:spacing w:val="2"/>
          <w:lang w:val="en-GB"/>
        </w:rPr>
        <w:t xml:space="preserve">Creditors secured by collateral; </w:t>
      </w:r>
    </w:p>
    <w:p w14:paraId="33C96B94" w14:textId="77777777" w:rsidR="00310E7C" w:rsidRDefault="00843086" w:rsidP="00E22BA4">
      <w:pPr>
        <w:numPr>
          <w:ilvl w:val="0"/>
          <w:numId w:val="24"/>
        </w:numPr>
        <w:tabs>
          <w:tab w:val="left" w:pos="1080"/>
        </w:tabs>
        <w:textAlignment w:val="baseline"/>
        <w:rPr>
          <w:rFonts w:eastAsia="Times New Roman"/>
          <w:color w:val="000000"/>
          <w:lang w:val="en-GB"/>
        </w:rPr>
      </w:pPr>
      <w:r w:rsidRPr="00311159">
        <w:rPr>
          <w:rFonts w:eastAsia="Times New Roman"/>
          <w:color w:val="000000"/>
          <w:lang w:val="en-GB"/>
        </w:rPr>
        <w:t>Creditors with general and special privil</w:t>
      </w:r>
      <w:r w:rsidR="00310E7C">
        <w:rPr>
          <w:rFonts w:eastAsia="Times New Roman"/>
          <w:color w:val="000000"/>
          <w:lang w:val="en-GB"/>
        </w:rPr>
        <w:t>eges,</w:t>
      </w:r>
    </w:p>
    <w:p w14:paraId="6C724226" w14:textId="5130D31F" w:rsidR="00843086" w:rsidRPr="00311159" w:rsidRDefault="00B05950" w:rsidP="00310E7C">
      <w:pPr>
        <w:tabs>
          <w:tab w:val="left" w:pos="1080"/>
        </w:tabs>
        <w:ind w:left="850"/>
        <w:textAlignment w:val="baseline"/>
        <w:rPr>
          <w:rFonts w:eastAsia="Times New Roman"/>
          <w:color w:val="000000"/>
          <w:lang w:val="en-GB"/>
        </w:rPr>
      </w:pPr>
      <w:r>
        <w:rPr>
          <w:rFonts w:eastAsia="Times New Roman"/>
          <w:color w:val="000000"/>
          <w:lang w:val="en-GB"/>
        </w:rPr>
        <w:t xml:space="preserve">unsecured creditors, and </w:t>
      </w:r>
      <w:r w:rsidR="00843086" w:rsidRPr="00311159">
        <w:rPr>
          <w:rFonts w:eastAsia="Times New Roman"/>
          <w:color w:val="000000"/>
          <w:lang w:val="en-GB"/>
        </w:rPr>
        <w:t>subordinated creditors; and</w:t>
      </w:r>
    </w:p>
    <w:p w14:paraId="1C8A5FE9" w14:textId="77777777" w:rsidR="00310E7C" w:rsidRDefault="00843086" w:rsidP="00E22BA4">
      <w:pPr>
        <w:numPr>
          <w:ilvl w:val="0"/>
          <w:numId w:val="24"/>
        </w:numPr>
        <w:tabs>
          <w:tab w:val="left" w:pos="1080"/>
        </w:tabs>
        <w:textAlignment w:val="baseline"/>
        <w:rPr>
          <w:rFonts w:eastAsia="Times New Roman"/>
          <w:color w:val="000000"/>
          <w:lang w:val="en-GB"/>
        </w:rPr>
      </w:pPr>
      <w:r w:rsidRPr="00311159">
        <w:rPr>
          <w:rFonts w:eastAsia="Times New Roman"/>
          <w:color w:val="000000"/>
          <w:lang w:val="en-GB"/>
        </w:rPr>
        <w:t>Creditors classifi</w:t>
      </w:r>
      <w:r w:rsidR="00310E7C">
        <w:rPr>
          <w:rFonts w:eastAsia="Times New Roman"/>
          <w:color w:val="000000"/>
          <w:lang w:val="en-GB"/>
        </w:rPr>
        <w:t>ed as microenterprises or small</w:t>
      </w:r>
    </w:p>
    <w:p w14:paraId="72C6CC33" w14:textId="038E344E" w:rsidR="00843086" w:rsidRPr="00B05950" w:rsidRDefault="00843086" w:rsidP="00310E7C">
      <w:pPr>
        <w:tabs>
          <w:tab w:val="left" w:pos="1080"/>
        </w:tabs>
        <w:ind w:left="850"/>
        <w:textAlignment w:val="baseline"/>
        <w:rPr>
          <w:rFonts w:eastAsia="Times New Roman"/>
          <w:color w:val="000000"/>
          <w:lang w:val="en-GB"/>
        </w:rPr>
      </w:pPr>
      <w:r w:rsidRPr="00311159">
        <w:rPr>
          <w:rFonts w:eastAsia="Times New Roman"/>
          <w:color w:val="000000"/>
          <w:lang w:val="en-GB"/>
        </w:rPr>
        <w:t>companies.</w:t>
      </w:r>
    </w:p>
    <w:p w14:paraId="270EB238" w14:textId="0C4AC6B7" w:rsidR="00B05950" w:rsidRPr="00B05950" w:rsidRDefault="00843086" w:rsidP="00E22BA4">
      <w:pPr>
        <w:textAlignment w:val="baseline"/>
        <w:rPr>
          <w:rFonts w:eastAsia="Times New Roman"/>
          <w:color w:val="000000"/>
          <w:lang w:val="en-GB"/>
        </w:rPr>
      </w:pPr>
      <w:r w:rsidRPr="00311159">
        <w:rPr>
          <w:rFonts w:eastAsia="Times New Roman"/>
          <w:color w:val="000000"/>
          <w:lang w:val="en-GB"/>
        </w:rPr>
        <w:t>All four classes of creditors must approve the final plan (with any creditors’ change proposals already included). As a general rule, a proposed plan obtains creditor approval pursuant to the ordinary voting</w:t>
      </w:r>
      <w:r w:rsidRPr="00B05950">
        <w:rPr>
          <w:rFonts w:eastAsia="Times New Roman"/>
          <w:color w:val="000000"/>
          <w:lang w:val="en-GB"/>
        </w:rPr>
        <w:t xml:space="preserve"> criteria, as follows:</w:t>
      </w:r>
    </w:p>
    <w:p w14:paraId="145D099A" w14:textId="3882E001" w:rsidR="00843086" w:rsidRPr="0082582B" w:rsidRDefault="0082582B" w:rsidP="0082582B">
      <w:pPr>
        <w:tabs>
          <w:tab w:val="left" w:pos="720"/>
        </w:tabs>
        <w:textAlignment w:val="baseline"/>
        <w:rPr>
          <w:rFonts w:eastAsia="Courier New"/>
          <w:color w:val="000000"/>
          <w:lang w:val="en-GB"/>
        </w:rPr>
      </w:pPr>
      <w:r>
        <w:t xml:space="preserve">– </w:t>
      </w:r>
      <w:r w:rsidR="00843086" w:rsidRPr="0082582B">
        <w:rPr>
          <w:rFonts w:eastAsia="Courier New"/>
          <w:color w:val="000000"/>
          <w:lang w:val="en-GB"/>
        </w:rPr>
        <w:t xml:space="preserve">Class </w:t>
      </w:r>
      <w:r w:rsidR="00843086" w:rsidRPr="0082582B">
        <w:rPr>
          <w:rFonts w:eastAsia="Bookman Old Style"/>
          <w:color w:val="000000"/>
          <w:lang w:val="en-GB"/>
        </w:rPr>
        <w:t>#1 and Class #</w:t>
      </w:r>
      <w:r w:rsidR="00B67B61" w:rsidRPr="0082582B">
        <w:rPr>
          <w:rFonts w:eastAsia="Bookman Old Style"/>
          <w:color w:val="000000"/>
          <w:lang w:val="en-GB"/>
        </w:rPr>
        <w:t> </w:t>
      </w:r>
      <w:proofErr w:type="gramStart"/>
      <w:r w:rsidR="00843086" w:rsidRPr="0082582B">
        <w:rPr>
          <w:rFonts w:eastAsia="Bookman Old Style"/>
          <w:color w:val="000000"/>
          <w:lang w:val="en-GB"/>
        </w:rPr>
        <w:t>4</w:t>
      </w:r>
      <w:r w:rsidR="00B67B61" w:rsidRPr="0082582B">
        <w:rPr>
          <w:rFonts w:eastAsia="Bookman Old Style"/>
          <w:color w:val="000000"/>
          <w:lang w:val="en-GB"/>
        </w:rPr>
        <w:t> </w:t>
      </w:r>
      <w:r w:rsidR="00843086" w:rsidRPr="0082582B">
        <w:rPr>
          <w:rFonts w:eastAsia="Bookman Old Style"/>
          <w:color w:val="000000"/>
          <w:lang w:val="en-GB"/>
        </w:rPr>
        <w:t>:</w:t>
      </w:r>
      <w:proofErr w:type="gramEnd"/>
      <w:r w:rsidR="00843086" w:rsidRPr="0082582B">
        <w:rPr>
          <w:rFonts w:eastAsia="Bookman Old Style"/>
          <w:color w:val="000000"/>
          <w:lang w:val="en-GB"/>
        </w:rPr>
        <w:t xml:space="preserve"> </w:t>
      </w:r>
      <w:r w:rsidR="00843086" w:rsidRPr="0082582B">
        <w:rPr>
          <w:rFonts w:eastAsia="Times New Roman"/>
          <w:color w:val="000000"/>
          <w:lang w:val="en-GB"/>
        </w:rPr>
        <w:t>Approves the plan by a simple majority of creditors present or represented at the GMC (i.e., per capita voting), regardless of the amount of individual claims; and</w:t>
      </w:r>
    </w:p>
    <w:p w14:paraId="504624C6" w14:textId="69DE5434" w:rsidR="00843086" w:rsidRPr="0082582B" w:rsidRDefault="0082582B" w:rsidP="0082582B">
      <w:pPr>
        <w:tabs>
          <w:tab w:val="left" w:pos="720"/>
        </w:tabs>
        <w:textAlignment w:val="baseline"/>
        <w:rPr>
          <w:rFonts w:eastAsia="Courier New"/>
          <w:b/>
          <w:color w:val="000000"/>
          <w:lang w:val="en-GB"/>
        </w:rPr>
      </w:pPr>
      <w:r>
        <w:t xml:space="preserve">– </w:t>
      </w:r>
      <w:r w:rsidR="00843086" w:rsidRPr="0082582B">
        <w:rPr>
          <w:rFonts w:eastAsia="Courier New"/>
          <w:color w:val="000000"/>
          <w:lang w:val="en-GB"/>
        </w:rPr>
        <w:t xml:space="preserve">Class </w:t>
      </w:r>
      <w:r w:rsidR="00843086" w:rsidRPr="0082582B">
        <w:rPr>
          <w:rFonts w:eastAsia="Bookman Old Style"/>
          <w:color w:val="000000"/>
          <w:lang w:val="en-GB"/>
        </w:rPr>
        <w:t xml:space="preserve">#2 </w:t>
      </w:r>
      <w:r w:rsidR="00843086" w:rsidRPr="0082582B">
        <w:rPr>
          <w:rFonts w:eastAsia="Courier New"/>
          <w:color w:val="000000"/>
          <w:lang w:val="en-GB"/>
        </w:rPr>
        <w:t xml:space="preserve">and Class </w:t>
      </w:r>
      <w:r w:rsidR="00843086" w:rsidRPr="0082582B">
        <w:rPr>
          <w:rFonts w:eastAsia="Bookman Old Style"/>
          <w:color w:val="000000"/>
          <w:lang w:val="en-GB"/>
        </w:rPr>
        <w:t xml:space="preserve">#3: </w:t>
      </w:r>
      <w:r w:rsidR="00843086" w:rsidRPr="0082582B">
        <w:rPr>
          <w:rFonts w:eastAsia="Times New Roman"/>
          <w:color w:val="000000"/>
          <w:lang w:val="en-GB"/>
        </w:rPr>
        <w:t>Approve the plan, per class, by creditors present or represented at the GMC holding (a) over 50% of the total amount of claims; and (b) by a simple majority of creditors (i.e., per capita voting).</w:t>
      </w:r>
    </w:p>
    <w:p w14:paraId="2DFD92E0"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If the debtor fails to obtain sufficient creditor support for a proposed plan under the general rule, a court may nevertheless confirm the plan and grant the judicial reorganisation, provided that the plan has obtained, cumulatively, at the same GMC: (1) the favourable vote of creditors representing over 50% of the amount of all claims present or represented at the GMC (regardless of the class involved); (2) the approval of at least two classes, pursuant to the ordinary voting criteria; and (3) the favourable cumulative vote of over 1/3 of the creditors in the class (or classes) that rejected the plan (computed pursuant to the ordinary voting criteria).</w:t>
      </w:r>
    </w:p>
    <w:p w14:paraId="73F87822" w14:textId="77777777" w:rsidR="00843086" w:rsidRPr="00311159" w:rsidRDefault="00843086" w:rsidP="00E22BA4">
      <w:pPr>
        <w:textAlignment w:val="baseline"/>
        <w:rPr>
          <w:rFonts w:eastAsia="Times New Roman"/>
          <w:color w:val="000000"/>
          <w:spacing w:val="3"/>
          <w:lang w:val="en-GB"/>
        </w:rPr>
      </w:pPr>
      <w:r w:rsidRPr="00311159">
        <w:rPr>
          <w:rFonts w:eastAsia="Times New Roman"/>
          <w:color w:val="000000"/>
          <w:spacing w:val="3"/>
          <w:lang w:val="en-GB"/>
        </w:rPr>
        <w:t>Votes may be cast by the persons set out in the general list of creditors; or, in the absence thereof, in the list of creditors prepared by the trustee; or else in the debtor’s list of creditors, supporting the petition for judicial reorganisation. Each holder of labour claims and microenterprises/small companies is entitled to one vote within its respective class, and the class of creditors not affected by the reorganisation plan has no say at the meeting resolving on the plan.</w:t>
      </w:r>
    </w:p>
    <w:p w14:paraId="1E25AB9C" w14:textId="6F1774D5" w:rsidR="00843086" w:rsidRPr="00310E7C" w:rsidRDefault="00843086" w:rsidP="00E22BA4">
      <w:pPr>
        <w:pStyle w:val="Titre3"/>
        <w:numPr>
          <w:ilvl w:val="0"/>
          <w:numId w:val="0"/>
        </w:numPr>
        <w:ind w:left="1416"/>
        <w:rPr>
          <w:rFonts w:eastAsia="Bookman Old Style"/>
          <w:b w:val="0"/>
          <w:lang w:val="en-US"/>
        </w:rPr>
      </w:pPr>
      <w:r w:rsidRPr="00310E7C">
        <w:rPr>
          <w:rFonts w:eastAsia="Courier New"/>
          <w:lang w:val="en-US"/>
        </w:rPr>
        <w:lastRenderedPageBreak/>
        <w:t>Moratorium</w:t>
      </w:r>
    </w:p>
    <w:p w14:paraId="263551DF"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As already mentioned, granting of judicial reorganisation bars any lawsuits (that are not claiming an exact amount against the debtor) and enforcements (but enforcements involving tax-related debts) against the debtor. Once the plan has been approved, there will be a conditional novation of the debtor’s liabilities, in the manner established in the plan, which may include a moratorium with respect to payment terms.</w:t>
      </w:r>
    </w:p>
    <w:p w14:paraId="66929573" w14:textId="77777777" w:rsidR="00843086" w:rsidRPr="00311159" w:rsidRDefault="00843086" w:rsidP="00E22BA4">
      <w:pPr>
        <w:tabs>
          <w:tab w:val="decimal" w:pos="648"/>
          <w:tab w:val="left" w:pos="1440"/>
        </w:tabs>
        <w:textAlignment w:val="baseline"/>
        <w:rPr>
          <w:rFonts w:eastAsia="Times New Roman"/>
          <w:color w:val="000000"/>
          <w:lang w:val="en-GB"/>
        </w:rPr>
      </w:pPr>
      <w:r w:rsidRPr="00311159">
        <w:rPr>
          <w:rFonts w:eastAsia="Times New Roman"/>
          <w:color w:val="000000"/>
          <w:spacing w:val="6"/>
          <w:lang w:val="en-GB"/>
        </w:rPr>
        <w:t xml:space="preserve">In relation to the judicial reorganisation of microenterprises and small companies, the law contemplates the possibility of submitting a special plan, which does not require a general meeting of creditors, consisting basically of a </w:t>
      </w:r>
      <w:r w:rsidRPr="00311159">
        <w:rPr>
          <w:rFonts w:eastAsia="Times New Roman"/>
          <w:color w:val="000000"/>
          <w:lang w:val="en-GB"/>
        </w:rPr>
        <w:t>moratorium for the debtor to pay its unsecured creditors in up to thirty-six monthly instalments.</w:t>
      </w:r>
    </w:p>
    <w:p w14:paraId="207C5AE2" w14:textId="71E9FDE5" w:rsidR="00843086" w:rsidRPr="00310E7C" w:rsidRDefault="00843086" w:rsidP="00E22BA4">
      <w:pPr>
        <w:pStyle w:val="Titre3"/>
        <w:numPr>
          <w:ilvl w:val="0"/>
          <w:numId w:val="0"/>
        </w:numPr>
        <w:ind w:left="1416"/>
        <w:rPr>
          <w:rFonts w:eastAsia="Bookman Old Style"/>
          <w:b w:val="0"/>
          <w:lang w:val="en-US"/>
        </w:rPr>
      </w:pPr>
      <w:r w:rsidRPr="00310E7C">
        <w:rPr>
          <w:rFonts w:eastAsia="Bookman Old Style"/>
          <w:lang w:val="en-US"/>
        </w:rPr>
        <w:t>Treatment of creditors and their claims</w:t>
      </w:r>
    </w:p>
    <w:p w14:paraId="5DB75E7A"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All creditors subject to the effects of the judicial reorganisation that disagree with the amount or the classification of their claims must file an opposition or an objection. The method and conditions for payment of the respective claim must be set out in the reorganisation plan.</w:t>
      </w:r>
    </w:p>
    <w:p w14:paraId="5EB04802" w14:textId="4B87AF9D" w:rsidR="00843086" w:rsidRPr="00311159" w:rsidRDefault="00843086" w:rsidP="00E22BA4">
      <w:pPr>
        <w:textAlignment w:val="baseline"/>
        <w:rPr>
          <w:rFonts w:eastAsia="Times New Roman"/>
          <w:color w:val="000000"/>
          <w:spacing w:val="3"/>
          <w:lang w:val="en-GB"/>
        </w:rPr>
      </w:pPr>
      <w:r w:rsidRPr="00311159">
        <w:rPr>
          <w:rFonts w:eastAsia="Times New Roman"/>
          <w:color w:val="000000"/>
          <w:spacing w:val="3"/>
          <w:lang w:val="en-GB"/>
        </w:rPr>
        <w:t>Certain types of potentially significant claims are not subject to a judicial reorganisation, including claims arising from</w:t>
      </w:r>
      <w:r w:rsidR="00B67B61">
        <w:rPr>
          <w:rFonts w:eastAsia="Times New Roman"/>
          <w:color w:val="000000"/>
          <w:spacing w:val="3"/>
          <w:lang w:val="en-GB"/>
        </w:rPr>
        <w:t> </w:t>
      </w:r>
      <w:r w:rsidRPr="00311159">
        <w:rPr>
          <w:rFonts w:eastAsia="Times New Roman"/>
          <w:color w:val="000000"/>
          <w:spacing w:val="3"/>
          <w:lang w:val="en-GB"/>
        </w:rPr>
        <w:t>: (1) taxes</w:t>
      </w:r>
      <w:r w:rsidR="00B67B61">
        <w:rPr>
          <w:rFonts w:eastAsia="Times New Roman"/>
          <w:color w:val="000000"/>
          <w:spacing w:val="3"/>
          <w:lang w:val="en-GB"/>
        </w:rPr>
        <w:t> </w:t>
      </w:r>
      <w:r w:rsidRPr="00311159">
        <w:rPr>
          <w:rFonts w:eastAsia="Times New Roman"/>
          <w:color w:val="000000"/>
          <w:spacing w:val="3"/>
          <w:lang w:val="en-GB"/>
        </w:rPr>
        <w:t xml:space="preserve">; (2) the owner (or committed seller) of real property </w:t>
      </w:r>
      <w:r w:rsidRPr="00311159">
        <w:rPr>
          <w:rFonts w:eastAsia="Times New Roman"/>
          <w:i/>
          <w:color w:val="000000"/>
          <w:spacing w:val="3"/>
          <w:lang w:val="en-GB"/>
        </w:rPr>
        <w:t>(</w:t>
      </w:r>
      <w:proofErr w:type="spellStart"/>
      <w:r w:rsidRPr="00311159">
        <w:rPr>
          <w:rFonts w:eastAsia="Times New Roman"/>
          <w:i/>
          <w:color w:val="000000"/>
          <w:spacing w:val="3"/>
          <w:lang w:val="en-GB"/>
        </w:rPr>
        <w:t>imóvel</w:t>
      </w:r>
      <w:proofErr w:type="spellEnd"/>
      <w:r w:rsidRPr="00311159">
        <w:rPr>
          <w:rFonts w:eastAsia="Times New Roman"/>
          <w:i/>
          <w:color w:val="000000"/>
          <w:spacing w:val="3"/>
          <w:lang w:val="en-GB"/>
        </w:rPr>
        <w:t xml:space="preserve">) </w:t>
      </w:r>
      <w:r w:rsidRPr="00311159">
        <w:rPr>
          <w:rFonts w:eastAsia="Times New Roman"/>
          <w:color w:val="000000"/>
          <w:spacing w:val="3"/>
          <w:lang w:val="en-GB"/>
        </w:rPr>
        <w:t xml:space="preserve">where the relevant agreement contains an irrevocable or irreversibility clause (including real estate developments); (3) the owner in a sale contract with title retention </w:t>
      </w:r>
      <w:r w:rsidRPr="00311159">
        <w:rPr>
          <w:rFonts w:eastAsia="Times New Roman"/>
          <w:i/>
          <w:color w:val="000000"/>
          <w:spacing w:val="3"/>
          <w:lang w:val="en-GB"/>
        </w:rPr>
        <w:t>(</w:t>
      </w:r>
      <w:proofErr w:type="spellStart"/>
      <w:r w:rsidRPr="00311159">
        <w:rPr>
          <w:rFonts w:eastAsia="Times New Roman"/>
          <w:i/>
          <w:color w:val="000000"/>
          <w:spacing w:val="3"/>
          <w:lang w:val="en-GB"/>
        </w:rPr>
        <w:t>reserva</w:t>
      </w:r>
      <w:proofErr w:type="spellEnd"/>
      <w:r w:rsidRPr="00311159">
        <w:rPr>
          <w:rFonts w:eastAsia="Times New Roman"/>
          <w:i/>
          <w:color w:val="000000"/>
          <w:spacing w:val="3"/>
          <w:lang w:val="en-GB"/>
        </w:rPr>
        <w:t xml:space="preserve"> de </w:t>
      </w:r>
      <w:proofErr w:type="spellStart"/>
      <w:r w:rsidRPr="00311159">
        <w:rPr>
          <w:rFonts w:eastAsia="Times New Roman"/>
          <w:i/>
          <w:color w:val="000000"/>
          <w:spacing w:val="3"/>
          <w:lang w:val="en-GB"/>
        </w:rPr>
        <w:t>domínio</w:t>
      </w:r>
      <w:proofErr w:type="spellEnd"/>
      <w:r w:rsidRPr="00311159">
        <w:rPr>
          <w:rFonts w:eastAsia="Times New Roman"/>
          <w:i/>
          <w:color w:val="000000"/>
          <w:spacing w:val="3"/>
          <w:lang w:val="en-GB"/>
        </w:rPr>
        <w:t xml:space="preserve">); </w:t>
      </w:r>
      <w:r w:rsidRPr="00311159">
        <w:rPr>
          <w:rFonts w:eastAsia="Times New Roman"/>
          <w:color w:val="000000"/>
          <w:spacing w:val="3"/>
          <w:lang w:val="en-GB"/>
        </w:rPr>
        <w:t xml:space="preserve">(4) advances of money on an export exchange contract </w:t>
      </w:r>
      <w:r w:rsidRPr="00311159">
        <w:rPr>
          <w:rFonts w:eastAsia="Times New Roman"/>
          <w:i/>
          <w:color w:val="000000"/>
          <w:spacing w:val="3"/>
          <w:lang w:val="en-GB"/>
        </w:rPr>
        <w:t>(</w:t>
      </w:r>
      <w:proofErr w:type="spellStart"/>
      <w:r w:rsidRPr="00311159">
        <w:rPr>
          <w:rFonts w:eastAsia="Times New Roman"/>
          <w:i/>
          <w:color w:val="000000"/>
          <w:spacing w:val="3"/>
          <w:lang w:val="en-GB"/>
        </w:rPr>
        <w:t>Adiantamento</w:t>
      </w:r>
      <w:proofErr w:type="spellEnd"/>
      <w:r w:rsidRPr="00311159">
        <w:rPr>
          <w:rFonts w:eastAsia="Times New Roman"/>
          <w:i/>
          <w:color w:val="000000"/>
          <w:spacing w:val="3"/>
          <w:lang w:val="en-GB"/>
        </w:rPr>
        <w:t xml:space="preserve"> </w:t>
      </w:r>
      <w:proofErr w:type="spellStart"/>
      <w:r w:rsidRPr="00311159">
        <w:rPr>
          <w:rFonts w:eastAsia="Times New Roman"/>
          <w:i/>
          <w:color w:val="000000"/>
          <w:spacing w:val="3"/>
          <w:lang w:val="en-GB"/>
        </w:rPr>
        <w:t>sobre</w:t>
      </w:r>
      <w:proofErr w:type="spellEnd"/>
      <w:r w:rsidRPr="00311159">
        <w:rPr>
          <w:rFonts w:eastAsia="Times New Roman"/>
          <w:i/>
          <w:color w:val="000000"/>
          <w:spacing w:val="3"/>
          <w:lang w:val="en-GB"/>
        </w:rPr>
        <w:t xml:space="preserve"> </w:t>
      </w:r>
      <w:proofErr w:type="spellStart"/>
      <w:r w:rsidRPr="00311159">
        <w:rPr>
          <w:rFonts w:eastAsia="Times New Roman"/>
          <w:i/>
          <w:color w:val="000000"/>
          <w:spacing w:val="3"/>
          <w:lang w:val="en-GB"/>
        </w:rPr>
        <w:t>Contrato</w:t>
      </w:r>
      <w:proofErr w:type="spellEnd"/>
      <w:r w:rsidRPr="00311159">
        <w:rPr>
          <w:rFonts w:eastAsia="Times New Roman"/>
          <w:i/>
          <w:color w:val="000000"/>
          <w:spacing w:val="3"/>
          <w:lang w:val="en-GB"/>
        </w:rPr>
        <w:t xml:space="preserve"> de </w:t>
      </w:r>
      <w:proofErr w:type="spellStart"/>
      <w:r w:rsidRPr="00311159">
        <w:rPr>
          <w:rFonts w:eastAsia="Times New Roman"/>
          <w:i/>
          <w:color w:val="000000"/>
          <w:spacing w:val="3"/>
          <w:lang w:val="en-GB"/>
        </w:rPr>
        <w:t>Câmbio</w:t>
      </w:r>
      <w:proofErr w:type="spellEnd"/>
      <w:r w:rsidRPr="00311159">
        <w:rPr>
          <w:rFonts w:eastAsia="Times New Roman"/>
          <w:i/>
          <w:color w:val="000000"/>
          <w:spacing w:val="3"/>
          <w:lang w:val="en-GB"/>
        </w:rPr>
        <w:t xml:space="preserve"> </w:t>
      </w:r>
      <w:r w:rsidR="00774721">
        <w:rPr>
          <w:rFonts w:eastAsia="Times New Roman"/>
          <w:color w:val="000000"/>
          <w:lang w:val="en-GB"/>
        </w:rPr>
        <w:t>–</w:t>
      </w:r>
      <w:r w:rsidRPr="00311159">
        <w:rPr>
          <w:rFonts w:eastAsia="Times New Roman"/>
          <w:i/>
          <w:color w:val="000000"/>
          <w:spacing w:val="3"/>
          <w:lang w:val="en-GB"/>
        </w:rPr>
        <w:t xml:space="preserve"> </w:t>
      </w:r>
      <w:r w:rsidRPr="00311159">
        <w:rPr>
          <w:rFonts w:eastAsia="Times New Roman"/>
          <w:color w:val="000000"/>
          <w:spacing w:val="3"/>
          <w:lang w:val="en-GB"/>
        </w:rPr>
        <w:t>ACC)</w:t>
      </w:r>
      <w:r w:rsidR="0054797C">
        <w:rPr>
          <w:rFonts w:eastAsia="Times New Roman"/>
          <w:color w:val="000000"/>
          <w:spacing w:val="3"/>
          <w:lang w:val="en-GB"/>
        </w:rPr>
        <w:t> </w:t>
      </w:r>
      <w:r w:rsidRPr="00311159">
        <w:rPr>
          <w:rFonts w:eastAsia="Times New Roman"/>
          <w:color w:val="000000"/>
          <w:spacing w:val="3"/>
          <w:lang w:val="en-GB"/>
        </w:rPr>
        <w:t xml:space="preserve">; (5) the owner of a fiduciary lien on movable or immovable assets, such as a fiduciary sale agreement </w:t>
      </w:r>
      <w:r w:rsidRPr="00311159">
        <w:rPr>
          <w:rFonts w:eastAsia="Times New Roman"/>
          <w:i/>
          <w:color w:val="000000"/>
          <w:spacing w:val="3"/>
          <w:lang w:val="en-GB"/>
        </w:rPr>
        <w:t>(</w:t>
      </w:r>
      <w:proofErr w:type="spellStart"/>
      <w:r w:rsidRPr="00311159">
        <w:rPr>
          <w:rFonts w:eastAsia="Times New Roman"/>
          <w:i/>
          <w:color w:val="000000"/>
          <w:spacing w:val="3"/>
          <w:lang w:val="en-GB"/>
        </w:rPr>
        <w:t>alienação</w:t>
      </w:r>
      <w:proofErr w:type="spellEnd"/>
      <w:r w:rsidRPr="00311159">
        <w:rPr>
          <w:rFonts w:eastAsia="Times New Roman"/>
          <w:i/>
          <w:color w:val="000000"/>
          <w:spacing w:val="3"/>
          <w:lang w:val="en-GB"/>
        </w:rPr>
        <w:t>/</w:t>
      </w:r>
      <w:proofErr w:type="spellStart"/>
      <w:r w:rsidRPr="00311159">
        <w:rPr>
          <w:rFonts w:eastAsia="Times New Roman"/>
          <w:i/>
          <w:color w:val="000000"/>
          <w:spacing w:val="3"/>
          <w:lang w:val="en-GB"/>
        </w:rPr>
        <w:t>cessão</w:t>
      </w:r>
      <w:proofErr w:type="spellEnd"/>
      <w:r w:rsidRPr="00311159">
        <w:rPr>
          <w:rFonts w:eastAsia="Times New Roman"/>
          <w:i/>
          <w:color w:val="000000"/>
          <w:spacing w:val="3"/>
          <w:lang w:val="en-GB"/>
        </w:rPr>
        <w:t xml:space="preserve"> </w:t>
      </w:r>
      <w:proofErr w:type="spellStart"/>
      <w:r w:rsidRPr="00311159">
        <w:rPr>
          <w:rFonts w:eastAsia="Times New Roman"/>
          <w:i/>
          <w:color w:val="000000"/>
          <w:spacing w:val="3"/>
          <w:lang w:val="en-GB"/>
        </w:rPr>
        <w:t>fiduciária</w:t>
      </w:r>
      <w:proofErr w:type="spellEnd"/>
      <w:r w:rsidRPr="00311159">
        <w:rPr>
          <w:rFonts w:eastAsia="Times New Roman"/>
          <w:i/>
          <w:color w:val="000000"/>
          <w:spacing w:val="3"/>
          <w:lang w:val="en-GB"/>
        </w:rPr>
        <w:t xml:space="preserve">); </w:t>
      </w:r>
      <w:r w:rsidRPr="00311159">
        <w:rPr>
          <w:rFonts w:eastAsia="Times New Roman"/>
          <w:color w:val="000000"/>
          <w:spacing w:val="3"/>
          <w:lang w:val="en-GB"/>
        </w:rPr>
        <w:t xml:space="preserve">or (6) a leasing contract </w:t>
      </w:r>
      <w:r w:rsidRPr="00311159">
        <w:rPr>
          <w:rFonts w:eastAsia="Times New Roman"/>
          <w:i/>
          <w:color w:val="000000"/>
          <w:spacing w:val="3"/>
          <w:lang w:val="en-GB"/>
        </w:rPr>
        <w:t>(</w:t>
      </w:r>
      <w:proofErr w:type="spellStart"/>
      <w:r w:rsidRPr="00311159">
        <w:rPr>
          <w:rFonts w:eastAsia="Times New Roman"/>
          <w:i/>
          <w:color w:val="000000"/>
          <w:spacing w:val="3"/>
          <w:lang w:val="en-GB"/>
        </w:rPr>
        <w:t>arrendador</w:t>
      </w:r>
      <w:proofErr w:type="spellEnd"/>
      <w:r w:rsidRPr="00311159">
        <w:rPr>
          <w:rFonts w:eastAsia="Times New Roman"/>
          <w:i/>
          <w:color w:val="000000"/>
          <w:spacing w:val="3"/>
          <w:lang w:val="en-GB"/>
        </w:rPr>
        <w:t xml:space="preserve"> </w:t>
      </w:r>
      <w:proofErr w:type="spellStart"/>
      <w:r w:rsidRPr="00311159">
        <w:rPr>
          <w:rFonts w:eastAsia="Times New Roman"/>
          <w:i/>
          <w:color w:val="000000"/>
          <w:spacing w:val="3"/>
          <w:lang w:val="en-GB"/>
        </w:rPr>
        <w:t>mercantil</w:t>
      </w:r>
      <w:proofErr w:type="spellEnd"/>
      <w:r w:rsidRPr="00311159">
        <w:rPr>
          <w:rFonts w:eastAsia="Times New Roman"/>
          <w:i/>
          <w:color w:val="000000"/>
          <w:spacing w:val="3"/>
          <w:lang w:val="en-GB"/>
        </w:rPr>
        <w:t>).</w:t>
      </w:r>
    </w:p>
    <w:p w14:paraId="2BC75ED4" w14:textId="77777777" w:rsidR="00843086" w:rsidRPr="00311159" w:rsidRDefault="00843086" w:rsidP="00E22BA4">
      <w:pPr>
        <w:textAlignment w:val="baseline"/>
        <w:rPr>
          <w:rFonts w:eastAsia="Bookman Old Style"/>
          <w:b/>
          <w:color w:val="000000"/>
          <w:spacing w:val="-1"/>
          <w:lang w:val="en-GB"/>
        </w:rPr>
      </w:pPr>
      <w:r w:rsidRPr="00311159">
        <w:rPr>
          <w:rFonts w:eastAsia="Times New Roman"/>
          <w:color w:val="000000"/>
          <w:lang w:val="en-GB"/>
        </w:rPr>
        <w:t>Although not subject to the effects of the judicial reorganisation and, therefore, to the effects of the automatic stay, granting of processing of the judicial reorganisation prevents creditors excluded from the judicial reorganisation from adopting, for a period of 180 days, measures aimed at removing capital goods essential for the debtor’s activities. This rule does not apply to aircraft leased by airlines under judicial reorganisation, as provided for in article 199 of the BBL.</w:t>
      </w:r>
    </w:p>
    <w:p w14:paraId="47310BFF" w14:textId="404A7481" w:rsidR="00843086" w:rsidRPr="00310E7C" w:rsidRDefault="00843086" w:rsidP="00E22BA4">
      <w:pPr>
        <w:pStyle w:val="Titre3"/>
        <w:numPr>
          <w:ilvl w:val="0"/>
          <w:numId w:val="0"/>
        </w:numPr>
        <w:ind w:left="1416"/>
        <w:rPr>
          <w:rFonts w:eastAsia="Bookman Old Style"/>
          <w:b w:val="0"/>
          <w:lang w:val="en-US"/>
        </w:rPr>
      </w:pPr>
      <w:r w:rsidRPr="00310E7C">
        <w:rPr>
          <w:rFonts w:eastAsia="Bookman Old Style"/>
          <w:lang w:val="en-US"/>
        </w:rPr>
        <w:t>Position of shareholders/members</w:t>
      </w:r>
    </w:p>
    <w:p w14:paraId="3FA6086F" w14:textId="77777777" w:rsidR="00843086" w:rsidRPr="00311159" w:rsidRDefault="00843086" w:rsidP="00E22BA4">
      <w:pPr>
        <w:spacing w:before="17"/>
        <w:textAlignment w:val="baseline"/>
        <w:rPr>
          <w:rFonts w:eastAsia="Bookman Old Style"/>
          <w:b/>
          <w:color w:val="000000"/>
          <w:spacing w:val="7"/>
          <w:lang w:val="en-GB"/>
        </w:rPr>
      </w:pPr>
      <w:r w:rsidRPr="00311159">
        <w:rPr>
          <w:rFonts w:eastAsia="Times New Roman"/>
          <w:color w:val="000000"/>
          <w:lang w:val="en-GB"/>
        </w:rPr>
        <w:t>The main effect of the judicial reorganisation on the company’s partners is the fact that the partners and certain persons related to them, although holding credits with the company under judicial reorganisation, have no voting rights at the general meeting of creditors that resolves on the plan.</w:t>
      </w:r>
    </w:p>
    <w:p w14:paraId="58CEE3F0" w14:textId="74600B9C" w:rsidR="00843086" w:rsidRPr="00310E7C" w:rsidRDefault="00843086" w:rsidP="00E22BA4">
      <w:pPr>
        <w:pStyle w:val="Titre3"/>
        <w:numPr>
          <w:ilvl w:val="0"/>
          <w:numId w:val="0"/>
        </w:numPr>
        <w:ind w:left="1416"/>
        <w:rPr>
          <w:rFonts w:eastAsia="Bookman Old Style"/>
          <w:b w:val="0"/>
          <w:lang w:val="en-US"/>
        </w:rPr>
      </w:pPr>
      <w:r w:rsidRPr="00310E7C">
        <w:rPr>
          <w:rFonts w:eastAsia="Bookman Old Style"/>
          <w:lang w:val="en-US"/>
        </w:rPr>
        <w:lastRenderedPageBreak/>
        <w:t>Treatment of employees</w:t>
      </w:r>
    </w:p>
    <w:p w14:paraId="140B65ED" w14:textId="77777777" w:rsidR="00843086" w:rsidRPr="00311159" w:rsidRDefault="00843086" w:rsidP="00E22BA4">
      <w:pPr>
        <w:spacing w:before="310"/>
        <w:textAlignment w:val="baseline"/>
        <w:rPr>
          <w:rFonts w:eastAsia="Times New Roman"/>
          <w:color w:val="000000"/>
          <w:lang w:val="en-GB"/>
        </w:rPr>
      </w:pPr>
      <w:r w:rsidRPr="00311159">
        <w:rPr>
          <w:rFonts w:eastAsia="Times New Roman"/>
          <w:color w:val="000000"/>
          <w:lang w:val="en-GB"/>
        </w:rPr>
        <w:t>Filing for judicial reorganisation does not produce any change in employees’ rights, and the respective claims must be settled in the manner established in the reorganisation plan, subject to the legal provision that stipulates that labour claims must be settled in full within 12 months from court recognition of the judicial reorganisation plan.</w:t>
      </w:r>
    </w:p>
    <w:p w14:paraId="1451F29E" w14:textId="23AA4B6C" w:rsidR="00843086" w:rsidRPr="00310E7C" w:rsidRDefault="00843086" w:rsidP="00E22BA4">
      <w:pPr>
        <w:pStyle w:val="Titre3"/>
        <w:numPr>
          <w:ilvl w:val="0"/>
          <w:numId w:val="0"/>
        </w:numPr>
        <w:ind w:left="1416"/>
        <w:rPr>
          <w:rFonts w:eastAsia="Bookman Old Style"/>
          <w:b w:val="0"/>
          <w:spacing w:val="-3"/>
          <w:lang w:val="en-US"/>
        </w:rPr>
      </w:pPr>
      <w:r w:rsidRPr="00310E7C">
        <w:rPr>
          <w:rFonts w:eastAsia="Bookman Old Style"/>
          <w:lang w:val="en-US"/>
        </w:rPr>
        <w:t>Treatment of avoidable dispositions and executory</w:t>
      </w:r>
      <w:r w:rsidRPr="00310E7C">
        <w:rPr>
          <w:rFonts w:eastAsia="Bookman Old Style"/>
          <w:spacing w:val="-3"/>
          <w:lang w:val="en-US"/>
        </w:rPr>
        <w:t xml:space="preserve"> contracts</w:t>
      </w:r>
    </w:p>
    <w:p w14:paraId="089499A5" w14:textId="6E710756" w:rsidR="00843086" w:rsidRPr="00311159" w:rsidRDefault="00843086" w:rsidP="00E22BA4">
      <w:pPr>
        <w:spacing w:before="305"/>
        <w:textAlignment w:val="baseline"/>
        <w:rPr>
          <w:rFonts w:eastAsia="Bookman Old Style"/>
          <w:b/>
          <w:color w:val="000000"/>
          <w:spacing w:val="3"/>
        </w:rPr>
      </w:pPr>
      <w:r w:rsidRPr="00311159">
        <w:rPr>
          <w:rFonts w:eastAsia="Times New Roman"/>
          <w:color w:val="000000"/>
          <w:lang w:val="en-GB"/>
        </w:rPr>
        <w:t>The BBL has no rules dealing with the voidance of legal transactions carried out by the debtor in the event of judicial reorganisation, only in the event of bankruptcy. Judicial reorganisation is not, per se, cause for termination and does not grant the debtor the right to terminate executory contracts.</w:t>
      </w:r>
    </w:p>
    <w:p w14:paraId="47D70F28" w14:textId="01336768" w:rsidR="00843086" w:rsidRPr="00310E7C" w:rsidRDefault="00843086" w:rsidP="00E22BA4">
      <w:pPr>
        <w:pStyle w:val="Titre3"/>
        <w:numPr>
          <w:ilvl w:val="0"/>
          <w:numId w:val="0"/>
        </w:numPr>
        <w:ind w:left="1416"/>
        <w:rPr>
          <w:rFonts w:eastAsia="Bookman Old Style"/>
          <w:b w:val="0"/>
          <w:lang w:val="en-US"/>
        </w:rPr>
      </w:pPr>
      <w:r w:rsidRPr="00310E7C">
        <w:rPr>
          <w:rFonts w:eastAsia="Bookman Old Style"/>
          <w:lang w:val="en-US"/>
        </w:rPr>
        <w:t>Treatment of creditors and their claims</w:t>
      </w:r>
    </w:p>
    <w:p w14:paraId="206D3E8F" w14:textId="77777777" w:rsidR="00843086" w:rsidRPr="00311159" w:rsidRDefault="00843086" w:rsidP="00E22BA4">
      <w:pPr>
        <w:spacing w:before="310"/>
        <w:textAlignment w:val="baseline"/>
        <w:rPr>
          <w:rFonts w:eastAsia="Times New Roman"/>
          <w:color w:val="000000"/>
          <w:lang w:val="en-GB"/>
        </w:rPr>
      </w:pPr>
      <w:r w:rsidRPr="00311159">
        <w:rPr>
          <w:rFonts w:eastAsia="Times New Roman"/>
          <w:color w:val="000000"/>
          <w:lang w:val="en-GB"/>
        </w:rPr>
        <w:t>Filing for judicial reorganisation does not make any claim promptly enforceable; the treatment to be accorded to each affected claim must be set out in the plan of reorganisation.</w:t>
      </w:r>
    </w:p>
    <w:p w14:paraId="1A05C34D" w14:textId="2C12A952" w:rsidR="00843086" w:rsidRPr="00310E7C" w:rsidRDefault="00843086" w:rsidP="00E22BA4">
      <w:pPr>
        <w:pStyle w:val="Titre3"/>
        <w:numPr>
          <w:ilvl w:val="0"/>
          <w:numId w:val="0"/>
        </w:numPr>
        <w:ind w:left="1416"/>
        <w:rPr>
          <w:rFonts w:eastAsia="Bookman Old Style"/>
          <w:b w:val="0"/>
          <w:lang w:val="en-US"/>
        </w:rPr>
      </w:pPr>
      <w:r w:rsidRPr="00310E7C">
        <w:rPr>
          <w:rFonts w:eastAsia="Bookman Old Style"/>
          <w:lang w:val="en-US"/>
        </w:rPr>
        <w:t>Tax implications</w:t>
      </w:r>
    </w:p>
    <w:p w14:paraId="6A222228" w14:textId="77777777" w:rsidR="00843086" w:rsidRPr="00311159" w:rsidRDefault="00843086" w:rsidP="00E22BA4">
      <w:pPr>
        <w:spacing w:before="311"/>
        <w:textAlignment w:val="baseline"/>
        <w:rPr>
          <w:rFonts w:eastAsia="Times New Roman"/>
          <w:color w:val="000000"/>
          <w:spacing w:val="4"/>
          <w:lang w:val="en-GB"/>
        </w:rPr>
      </w:pPr>
      <w:r w:rsidRPr="00311159">
        <w:rPr>
          <w:rFonts w:eastAsia="Times New Roman"/>
          <w:color w:val="000000"/>
          <w:spacing w:val="4"/>
          <w:lang w:val="en-GB"/>
        </w:rPr>
        <w:t>Filing and/or granting of judicial reorganisation, or approval of the reorganisation plan, would not serve as grounds for use of losses as a tax benefit, which only occurs if the debtor is declared bankrupt. In most cases and depending on the percentage of debt recovery set out in the plan, this fact operates as a great incentive for the creditor to vote against approval of the plan so that the debtor is declared bankrupt and the creditor may take advantage of such tax benefit.</w:t>
      </w:r>
    </w:p>
    <w:p w14:paraId="28D23429" w14:textId="1693D476" w:rsidR="00843086" w:rsidRPr="00310E7C" w:rsidRDefault="00843086" w:rsidP="00E22BA4">
      <w:pPr>
        <w:pStyle w:val="Titre3"/>
        <w:numPr>
          <w:ilvl w:val="0"/>
          <w:numId w:val="0"/>
        </w:numPr>
        <w:ind w:left="1416"/>
        <w:rPr>
          <w:rFonts w:eastAsia="Bookman Old Style"/>
          <w:b w:val="0"/>
          <w:lang w:val="en-US"/>
        </w:rPr>
      </w:pPr>
      <w:proofErr w:type="spellStart"/>
      <w:r w:rsidRPr="00310E7C">
        <w:rPr>
          <w:rFonts w:eastAsia="Bookman Old Style"/>
          <w:lang w:val="en-US"/>
        </w:rPr>
        <w:t>Finalisation</w:t>
      </w:r>
      <w:proofErr w:type="spellEnd"/>
      <w:r w:rsidRPr="00310E7C">
        <w:rPr>
          <w:rFonts w:eastAsia="Bookman Old Style"/>
          <w:lang w:val="en-US"/>
        </w:rPr>
        <w:t xml:space="preserve"> of process: if successful and if not</w:t>
      </w:r>
    </w:p>
    <w:p w14:paraId="2327CEF4" w14:textId="77777777" w:rsidR="00843086" w:rsidRPr="00311159" w:rsidRDefault="00843086" w:rsidP="00E22BA4">
      <w:pPr>
        <w:spacing w:before="11"/>
        <w:textAlignment w:val="baseline"/>
        <w:rPr>
          <w:rFonts w:eastAsia="Times New Roman"/>
          <w:color w:val="000000"/>
          <w:lang w:val="en-GB"/>
        </w:rPr>
      </w:pPr>
      <w:r w:rsidRPr="00311159">
        <w:rPr>
          <w:rFonts w:eastAsia="Times New Roman"/>
          <w:color w:val="000000"/>
          <w:lang w:val="en-GB"/>
        </w:rPr>
        <w:t>Once the plan is approved and recovery is granted, the debtor continues with judicial reorganisation until all obligations established in the plan, and falling due up to two years after the start of proceedings, have been performed. In case of non-performance of any obligation, its bankruptcy will be declared, otherwise recovery is closed.</w:t>
      </w:r>
      <w:r w:rsidRPr="00311159">
        <w:rPr>
          <w:rStyle w:val="Marquenotebasdepage"/>
          <w:rFonts w:eastAsia="Bookman Old Style"/>
          <w:color w:val="000000"/>
          <w:lang w:val="en-GB"/>
        </w:rPr>
        <w:footnoteReference w:id="19"/>
      </w:r>
      <w:r w:rsidRPr="00311159">
        <w:rPr>
          <w:rFonts w:eastAsia="Times New Roman"/>
          <w:color w:val="000000"/>
          <w:lang w:val="en-GB"/>
        </w:rPr>
        <w:t xml:space="preserve"> After the two-year period, if any obligation established in the plan is not performed, the unpaid creditor can petition for specific performance or for the debtor's bankruptcy.</w:t>
      </w:r>
    </w:p>
    <w:p w14:paraId="493B3A1C" w14:textId="72D0A1AA" w:rsidR="00843086" w:rsidRPr="00310E7C" w:rsidRDefault="00843086" w:rsidP="00183E99">
      <w:pPr>
        <w:pStyle w:val="Titre3"/>
        <w:numPr>
          <w:ilvl w:val="0"/>
          <w:numId w:val="42"/>
        </w:numPr>
        <w:rPr>
          <w:rFonts w:eastAsia="Times New Roman"/>
          <w:lang w:val="en-US"/>
        </w:rPr>
      </w:pPr>
      <w:r w:rsidRPr="00310E7C">
        <w:rPr>
          <w:rFonts w:eastAsia="Times New Roman"/>
          <w:lang w:val="en-US"/>
        </w:rPr>
        <w:lastRenderedPageBreak/>
        <w:t>Informal work-outs</w:t>
      </w:r>
      <w:r w:rsidRPr="00311159">
        <w:rPr>
          <w:rStyle w:val="Marquenotebasdepage"/>
          <w:rFonts w:eastAsia="Bookman Old Style"/>
          <w:color w:val="000000"/>
          <w:spacing w:val="9"/>
          <w:lang w:val="en-GB"/>
        </w:rPr>
        <w:footnoteReference w:id="20"/>
      </w:r>
    </w:p>
    <w:p w14:paraId="00312B5A"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Brazilian creditors usually take a dim view of group compromises; instead, they prefer to negotiate directly with the debtor.</w:t>
      </w:r>
      <w:r w:rsidRPr="00311159">
        <w:rPr>
          <w:rStyle w:val="Marquenotebasdepage"/>
          <w:rFonts w:eastAsia="Bookman Old Style"/>
          <w:color w:val="000000"/>
          <w:lang w:val="en-GB"/>
        </w:rPr>
        <w:footnoteReference w:id="21"/>
      </w:r>
      <w:r w:rsidRPr="00311159">
        <w:rPr>
          <w:rFonts w:eastAsia="Bookman Old Style"/>
          <w:color w:val="000000"/>
          <w:lang w:val="en-GB"/>
        </w:rPr>
        <w:t xml:space="preserve">. </w:t>
      </w:r>
      <w:r w:rsidRPr="00311159">
        <w:rPr>
          <w:rFonts w:eastAsia="Times New Roman"/>
          <w:color w:val="000000"/>
          <w:lang w:val="en-GB"/>
        </w:rPr>
        <w:t>The effects of those crises that ravaged the US economy and the Brazilian energy and telecom industry in the last decade had a deep impact on negotiations by changing the behaviour in collective debt renegotiation processes.</w:t>
      </w:r>
    </w:p>
    <w:p w14:paraId="5FBFF4C4" w14:textId="19F7CF79" w:rsidR="00843086" w:rsidRPr="00311159" w:rsidRDefault="00843086" w:rsidP="00E22BA4">
      <w:pPr>
        <w:textAlignment w:val="baseline"/>
        <w:rPr>
          <w:rFonts w:eastAsia="Times New Roman"/>
          <w:color w:val="000000"/>
          <w:lang w:val="en-GB"/>
        </w:rPr>
      </w:pPr>
      <w:r w:rsidRPr="00311159">
        <w:rPr>
          <w:rFonts w:eastAsia="Times New Roman"/>
          <w:color w:val="000000"/>
          <w:spacing w:val="1"/>
          <w:lang w:val="en-GB"/>
        </w:rPr>
        <w:t>The fact that said crises affected Brazilian companies controlled by foreign parent companies (usually more acquainted with informal work-out mechanisms), and also considering that substantial debts were then being renegotiated, had an interesting effect. Creditors and debtors joined efforts to find out solutions for payment of debts on the best conditions possible for creditors and debtors, namely: as soon as possible and in a way to preserve the business, respectively.</w:t>
      </w:r>
      <w:r w:rsidRPr="00311159">
        <w:rPr>
          <w:rStyle w:val="Marquenotebasdepage"/>
          <w:rFonts w:eastAsia="Bookman Old Style"/>
          <w:color w:val="000000"/>
          <w:spacing w:val="1"/>
          <w:lang w:val="en-GB"/>
        </w:rPr>
        <w:footnoteReference w:id="22"/>
      </w:r>
    </w:p>
    <w:p w14:paraId="33618ADF" w14:textId="52DF20DC"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Within this context, the BBL introduced the extrajudicial reorganisation in the Brazilian insolvency system (please see item 6.2.3 below) and expressly acknowledged in its article 167</w:t>
      </w:r>
      <w:r w:rsidRPr="00311159">
        <w:rPr>
          <w:rStyle w:val="Marquenotebasdepage"/>
          <w:rFonts w:eastAsia="Bookman Old Style"/>
          <w:color w:val="000000"/>
          <w:lang w:val="en-GB"/>
        </w:rPr>
        <w:footnoteReference w:id="23"/>
      </w:r>
      <w:r w:rsidRPr="00311159">
        <w:rPr>
          <w:rFonts w:eastAsia="Times New Roman"/>
          <w:color w:val="000000"/>
          <w:lang w:val="en-GB"/>
        </w:rPr>
        <w:t xml:space="preserve"> that the debtor could negotiate informal work-outs with creditors, all of which as a means of encouraging the negotiation of agreements with groups of creditors chosen by the debtor.</w:t>
      </w:r>
    </w:p>
    <w:p w14:paraId="40194C07" w14:textId="77777777" w:rsidR="00843086" w:rsidRPr="00311159" w:rsidRDefault="00843086" w:rsidP="00E22BA4">
      <w:pPr>
        <w:textAlignment w:val="baseline"/>
        <w:rPr>
          <w:rFonts w:eastAsia="Garamond"/>
          <w:color w:val="000000"/>
          <w:spacing w:val="-3"/>
          <w:lang w:val="en-GB"/>
        </w:rPr>
      </w:pPr>
      <w:r w:rsidRPr="00311159">
        <w:rPr>
          <w:rFonts w:eastAsia="Garamond"/>
          <w:color w:val="000000"/>
          <w:spacing w:val="-3"/>
          <w:lang w:val="en-GB"/>
        </w:rPr>
        <w:t>This represented a major U-turn, as the Prior Bankruptcy Law prohibited debtors from negotiating reorganisation schemes with creditors. Under the Prior Bankruptcy Law, a negotiation could be sanctioned with what was referred to as an ‘act of bankruptcy’</w:t>
      </w:r>
      <w:r w:rsidRPr="00311159">
        <w:rPr>
          <w:rStyle w:val="Marquenotebasdepage"/>
          <w:rFonts w:eastAsia="Verdana"/>
          <w:color w:val="000000"/>
          <w:spacing w:val="-3"/>
          <w:lang w:val="en-GB"/>
        </w:rPr>
        <w:footnoteReference w:id="24"/>
      </w:r>
      <w:r w:rsidRPr="00311159">
        <w:rPr>
          <w:rFonts w:eastAsia="Verdana"/>
          <w:color w:val="000000"/>
          <w:spacing w:val="-3"/>
          <w:lang w:val="en-GB"/>
        </w:rPr>
        <w:t xml:space="preserve"> </w:t>
      </w:r>
      <w:r w:rsidRPr="00311159">
        <w:rPr>
          <w:rFonts w:eastAsia="Garamond"/>
          <w:color w:val="000000"/>
          <w:spacing w:val="-3"/>
          <w:lang w:val="en-GB"/>
        </w:rPr>
        <w:t xml:space="preserve">These acts automatically opened the door to a bankruptcy petition against the debtor, which could be decreed regardless of the debtor’s economic condition, that is to say, even if it were solvent. On the other hand, the only reorganisation structure provided for in the Prior Bankruptcy Law that has been repealed by the BBL was the application for the so-called ‘preventive </w:t>
      </w:r>
      <w:proofErr w:type="spellStart"/>
      <w:r w:rsidRPr="00311159">
        <w:rPr>
          <w:rFonts w:eastAsia="Times New Roman"/>
          <w:i/>
          <w:color w:val="000000"/>
          <w:spacing w:val="-3"/>
          <w:lang w:val="en-GB"/>
        </w:rPr>
        <w:t>concordata</w:t>
      </w:r>
      <w:proofErr w:type="spellEnd"/>
      <w:r w:rsidRPr="00311159">
        <w:rPr>
          <w:rFonts w:eastAsia="Times New Roman"/>
          <w:i/>
          <w:color w:val="000000"/>
          <w:spacing w:val="-3"/>
          <w:lang w:val="en-GB"/>
        </w:rPr>
        <w:t xml:space="preserve">’, </w:t>
      </w:r>
      <w:r w:rsidRPr="00311159">
        <w:rPr>
          <w:rFonts w:eastAsia="Garamond"/>
          <w:color w:val="000000"/>
          <w:spacing w:val="-3"/>
          <w:lang w:val="en-GB"/>
        </w:rPr>
        <w:t xml:space="preserve">which was no more than a moratorium imposed by the debtor on unsecured credits. This is why this stance of imposition by the debtor is so rooted in Brazilian life, and constitutes one of the main difficulties </w:t>
      </w:r>
      <w:r w:rsidRPr="00311159">
        <w:rPr>
          <w:rFonts w:eastAsia="Garamond"/>
          <w:color w:val="000000"/>
          <w:spacing w:val="-3"/>
          <w:lang w:val="en-GB"/>
        </w:rPr>
        <w:lastRenderedPageBreak/>
        <w:t>for implementation of a new type of behaviour that is necessary for use of the new mechanisms provided by the BBL.</w:t>
      </w:r>
    </w:p>
    <w:p w14:paraId="2586792B" w14:textId="77777777" w:rsidR="00843086" w:rsidRPr="00311159" w:rsidRDefault="00843086" w:rsidP="00E22BA4">
      <w:pPr>
        <w:textAlignment w:val="baseline"/>
        <w:rPr>
          <w:rFonts w:eastAsia="Garamond"/>
          <w:color w:val="000000"/>
          <w:lang w:val="en-GB"/>
        </w:rPr>
      </w:pPr>
      <w:r w:rsidRPr="00311159">
        <w:rPr>
          <w:rFonts w:eastAsia="Garamond"/>
          <w:color w:val="000000"/>
          <w:lang w:val="en-GB"/>
        </w:rPr>
        <w:t>The fact is that the increasing adhesion to informal work-out even before the BBL came into force gained momentum with the existence of a speedier procedure for obtaining ratification of a plan with a cram-down on non-adherent creditor, resulting in a stimulus to execution of several private settlements closed after the BBL came into effect.</w:t>
      </w:r>
    </w:p>
    <w:p w14:paraId="4FFC6544" w14:textId="54FC71D6" w:rsidR="00843086" w:rsidRPr="00311159" w:rsidRDefault="00843086" w:rsidP="00E22BA4">
      <w:pPr>
        <w:textAlignment w:val="baseline"/>
        <w:rPr>
          <w:rFonts w:eastAsia="Garamond"/>
          <w:color w:val="000000"/>
          <w:spacing w:val="-1"/>
          <w:lang w:val="en-GB"/>
        </w:rPr>
      </w:pPr>
      <w:r w:rsidRPr="00311159">
        <w:rPr>
          <w:rFonts w:eastAsia="Garamond"/>
          <w:color w:val="000000"/>
          <w:lang w:val="en-GB"/>
        </w:rPr>
        <w:t>However, the INSOL rules or London approach are far from being widely accepted and/or adopted in Brazil. The difficulty lies, in the first place, on the fact that an informal work-out assumes a voluntary adhesion by the creditors. It is a fact that in most relevant cases there is always a group of creditors that are more willing to offer a standstill to the debtor. But a creditor in possession of an automatically enforceable collateral (e.g. a fiduciary lien on receivables) would hardly give up on the right to enforce such collateral and lower its credit.</w:t>
      </w:r>
    </w:p>
    <w:p w14:paraId="20C5CE93" w14:textId="77777777" w:rsidR="00843086" w:rsidRPr="00311159" w:rsidRDefault="00843086" w:rsidP="00E22BA4">
      <w:pPr>
        <w:textAlignment w:val="baseline"/>
        <w:rPr>
          <w:rFonts w:eastAsia="Times New Roman"/>
          <w:color w:val="000000"/>
          <w:lang w:val="en-GB"/>
        </w:rPr>
      </w:pPr>
      <w:r w:rsidRPr="00311159">
        <w:rPr>
          <w:rFonts w:eastAsia="Garamond"/>
          <w:color w:val="000000"/>
          <w:spacing w:val="-1"/>
          <w:lang w:val="en-GB"/>
        </w:rPr>
        <w:t xml:space="preserve">Further as regards the standstill, it is nearly impossible to have government-owned banks adhere to this arrangement, as their representatives are afraid of taking actions that could later be viewed as a waiver of rights. The difficulty is even greater when smaller banks are involved, as a default would have a far greater impact on their balance sheets. Such unresponsiveness, which oftentimes ends up shooing other banks away, could be mitigated if there were rules or </w:t>
      </w:r>
      <w:r w:rsidRPr="00311159">
        <w:rPr>
          <w:rFonts w:eastAsia="Times New Roman"/>
          <w:color w:val="000000"/>
          <w:lang w:val="en-GB"/>
        </w:rPr>
        <w:t>regulations (issued by the Brazilian Central Bank, for instance) instructing banks to join informal work-outs and according a special accounting treatment during the standstill period. However, the fact is that, apart from the situations above, a group of creditors usually accept to take no actions against the debtor, whereas the debtor accepts to take no action that would impair the rights of creditors in general or of any specific creditor.</w:t>
      </w:r>
    </w:p>
    <w:p w14:paraId="5F92B451" w14:textId="77777777" w:rsidR="00843086" w:rsidRPr="00311159" w:rsidRDefault="00843086" w:rsidP="00E22BA4">
      <w:pPr>
        <w:textAlignment w:val="baseline"/>
        <w:rPr>
          <w:rFonts w:eastAsia="Times New Roman"/>
          <w:color w:val="000000"/>
          <w:spacing w:val="4"/>
          <w:lang w:val="en-GB"/>
        </w:rPr>
      </w:pPr>
      <w:r w:rsidRPr="00311159">
        <w:rPr>
          <w:rFonts w:eastAsia="Times New Roman"/>
          <w:color w:val="000000"/>
          <w:spacing w:val="4"/>
          <w:lang w:val="en-GB"/>
        </w:rPr>
        <w:t>Whenever it is possible to agree on a standstill or on an informal moratorium (without signing any document to that end), one or more banks (generally those holding the highest exposure) usually take the lead in the negotiation process. The difficulty usually lies in the agreement on sharing of expenses involved, especially with regard to hiring of financial advisors (to diagnose the debtor’s condition) and of legal advisors; sharing information with creditors that have not contributed to this work is usually difficult as well. On the other hand, not always the debtor is sufficiently open to disclosure of all information necessary, whether because the debtor has something to hide or because it fears that such information may be used against it during the very negotiations (or at a later moment, if negotiations fail).</w:t>
      </w:r>
    </w:p>
    <w:p w14:paraId="1A1C7C3E"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Finally, creditors are usually reluctant to contribute fresh funds, the more so if the debtor does not have assets on which a fiduciary lien could be placed as security. In some cases, it was possible to restructure all existing guarantees by replacing former ones with new instruments shared among all creditors (as in a syndicated transaction).</w:t>
      </w:r>
    </w:p>
    <w:p w14:paraId="42AD07E7" w14:textId="73A7F761" w:rsidR="00843086" w:rsidRPr="00311159" w:rsidRDefault="00843086" w:rsidP="00E22BA4">
      <w:pPr>
        <w:textAlignment w:val="baseline"/>
        <w:rPr>
          <w:rFonts w:eastAsia="Times New Roman"/>
          <w:color w:val="000000"/>
          <w:spacing w:val="5"/>
          <w:lang w:val="en-GB"/>
        </w:rPr>
      </w:pPr>
      <w:r w:rsidRPr="00311159">
        <w:rPr>
          <w:rFonts w:eastAsia="Times New Roman"/>
          <w:color w:val="000000"/>
          <w:spacing w:val="2"/>
          <w:lang w:val="en-GB"/>
        </w:rPr>
        <w:lastRenderedPageBreak/>
        <w:t>In practical terms, there is an initial attempt at carrying out an informal work-out in nearly all relevant cases, especially those where public awareness of the debtor’s financial straits could have a strong negative impact on its business and thus make its recovery difficult or impossible. In the Brazilian scenario, the success of any such initiative is far dependent on the situation involved and on the debtor’s openness, on the profile of creditor banks (especially whether there are government-owned banks and small banks with relevant exposure) and on the respective guarantees.</w:t>
      </w:r>
    </w:p>
    <w:p w14:paraId="03150AEE" w14:textId="77777777" w:rsidR="00843086" w:rsidRPr="00311159" w:rsidRDefault="00843086" w:rsidP="00E22BA4">
      <w:pPr>
        <w:textAlignment w:val="baseline"/>
        <w:rPr>
          <w:rFonts w:eastAsia="Garamond"/>
          <w:color w:val="000000"/>
          <w:lang w:val="en-GB"/>
        </w:rPr>
      </w:pPr>
      <w:r w:rsidRPr="00311159">
        <w:rPr>
          <w:rFonts w:eastAsia="Times New Roman"/>
          <w:color w:val="000000"/>
          <w:spacing w:val="5"/>
          <w:lang w:val="en-GB"/>
        </w:rPr>
        <w:t>Even so, there is still a strong cultural resistance against creditors negotiating out of court. It is not always possible to mobilise creditors, or, when they are mobilised, they do not react and cooperate within the timing required by the debtor. As a result of this fact, and also of the rather simple nature of legal provisions that address the chapter on out-of-court reorganisation, during these</w:t>
      </w:r>
      <w:r w:rsidRPr="00311159">
        <w:rPr>
          <w:rFonts w:eastAsia="Garamond"/>
          <w:color w:val="000000"/>
          <w:lang w:val="en-GB"/>
        </w:rPr>
        <w:t xml:space="preserve"> almost seven years since enactment of the BBL, we have heard of slightly over a dozen filings for out-of-court reorganisation, which is very few.</w:t>
      </w:r>
    </w:p>
    <w:p w14:paraId="5950F00D" w14:textId="0DCA3FE0" w:rsidR="00843086" w:rsidRPr="00310E7C" w:rsidRDefault="00AA4A55" w:rsidP="00E22BA4">
      <w:pPr>
        <w:pStyle w:val="Titre3"/>
        <w:numPr>
          <w:ilvl w:val="0"/>
          <w:numId w:val="0"/>
        </w:numPr>
        <w:ind w:left="1416"/>
        <w:rPr>
          <w:rFonts w:eastAsia="Garamond"/>
          <w:b w:val="0"/>
          <w:spacing w:val="8"/>
          <w:lang w:val="en-US"/>
        </w:rPr>
      </w:pPr>
      <w:r w:rsidRPr="00310E7C">
        <w:rPr>
          <w:rFonts w:eastAsia="Garamond"/>
          <w:lang w:val="en-US"/>
        </w:rPr>
        <w:t>2</w:t>
      </w:r>
      <w:r w:rsidR="004D1DED" w:rsidRPr="00310E7C">
        <w:rPr>
          <w:rFonts w:eastAsia="Garamond"/>
          <w:lang w:val="en-US"/>
        </w:rPr>
        <w:t xml:space="preserve">) </w:t>
      </w:r>
      <w:r w:rsidR="00843086" w:rsidRPr="00310E7C">
        <w:rPr>
          <w:rFonts w:eastAsia="Garamond"/>
          <w:lang w:val="en-US"/>
        </w:rPr>
        <w:t>Treatment of pre-pack arrangements. Out-of-court</w:t>
      </w:r>
      <w:r w:rsidR="00843086" w:rsidRPr="00310E7C">
        <w:rPr>
          <w:rFonts w:eastAsia="Garamond"/>
          <w:spacing w:val="8"/>
          <w:lang w:val="en-US"/>
        </w:rPr>
        <w:t xml:space="preserve"> </w:t>
      </w:r>
      <w:proofErr w:type="spellStart"/>
      <w:r w:rsidR="00843086" w:rsidRPr="00310E7C">
        <w:rPr>
          <w:rFonts w:eastAsia="Garamond"/>
          <w:spacing w:val="8"/>
          <w:lang w:val="en-US"/>
        </w:rPr>
        <w:t>reorganisation</w:t>
      </w:r>
      <w:proofErr w:type="spellEnd"/>
    </w:p>
    <w:p w14:paraId="11160748" w14:textId="77777777" w:rsidR="00843086" w:rsidRPr="00311159" w:rsidRDefault="00843086" w:rsidP="00E22BA4">
      <w:pPr>
        <w:textAlignment w:val="baseline"/>
        <w:rPr>
          <w:rFonts w:eastAsia="Garamond"/>
          <w:color w:val="000000"/>
          <w:lang w:val="en-GB"/>
        </w:rPr>
      </w:pPr>
      <w:r w:rsidRPr="00311159">
        <w:rPr>
          <w:rFonts w:eastAsia="Garamond"/>
          <w:color w:val="000000"/>
          <w:lang w:val="en-GB"/>
        </w:rPr>
        <w:t>This procedure is in many aspects similar to a “pre-package reorganisation” proceeding under Chapter 11 of the US Bankruptcy Code. Under it, a financially distressed debtor negotiates the terms of a plan of reorganisation (i.e., a “pre-package plan”), privately, with its creditors. After the debtor obtains the required creditors’ support for such plan, it will start a legal proceeding aiming to obtain court ratification of the pre-package (approved) plan.</w:t>
      </w:r>
    </w:p>
    <w:p w14:paraId="1522167F" w14:textId="77777777" w:rsidR="00843086" w:rsidRPr="00311159" w:rsidRDefault="00843086" w:rsidP="00E22BA4">
      <w:pPr>
        <w:textAlignment w:val="baseline"/>
        <w:rPr>
          <w:rFonts w:eastAsia="Garamond"/>
          <w:color w:val="000000"/>
          <w:spacing w:val="-3"/>
          <w:lang w:val="en-GB"/>
        </w:rPr>
      </w:pPr>
      <w:r w:rsidRPr="00311159">
        <w:rPr>
          <w:rFonts w:eastAsia="Garamond"/>
          <w:color w:val="000000"/>
          <w:spacing w:val="-3"/>
          <w:lang w:val="en-GB"/>
        </w:rPr>
        <w:t>There are two types of out-of-court reorganisations:</w:t>
      </w:r>
    </w:p>
    <w:p w14:paraId="57C5C899" w14:textId="724B98E9" w:rsidR="00843086" w:rsidRPr="00B05950" w:rsidRDefault="0082582B" w:rsidP="0082582B">
      <w:pPr>
        <w:tabs>
          <w:tab w:val="left" w:pos="720"/>
          <w:tab w:val="left" w:pos="1440"/>
        </w:tabs>
        <w:textAlignment w:val="baseline"/>
        <w:rPr>
          <w:rFonts w:eastAsia="Garamond"/>
          <w:color w:val="000000"/>
          <w:spacing w:val="1"/>
          <w:lang w:val="en-GB"/>
        </w:rPr>
      </w:pPr>
      <w:r>
        <w:t xml:space="preserve">– </w:t>
      </w:r>
      <w:r w:rsidR="00843086" w:rsidRPr="0082582B">
        <w:rPr>
          <w:rFonts w:eastAsia="Garamond"/>
          <w:i/>
          <w:color w:val="000000"/>
          <w:spacing w:val="1"/>
          <w:lang w:val="en-GB"/>
        </w:rPr>
        <w:t>Homologation of consensus</w:t>
      </w:r>
      <w:r w:rsidR="00843086" w:rsidRPr="00B05950">
        <w:rPr>
          <w:rFonts w:eastAsia="Garamond"/>
          <w:color w:val="000000"/>
          <w:spacing w:val="1"/>
          <w:lang w:val="en-GB"/>
        </w:rPr>
        <w:t xml:space="preserve"> (</w:t>
      </w:r>
      <w:proofErr w:type="spellStart"/>
      <w:r w:rsidR="00843086" w:rsidRPr="00B05950">
        <w:rPr>
          <w:rFonts w:eastAsia="Bookman Old Style"/>
          <w:i/>
          <w:color w:val="000000"/>
          <w:spacing w:val="1"/>
          <w:lang w:val="en-GB"/>
        </w:rPr>
        <w:t>recuperação</w:t>
      </w:r>
      <w:proofErr w:type="spellEnd"/>
      <w:r w:rsidR="00843086" w:rsidRPr="00B05950">
        <w:rPr>
          <w:rFonts w:eastAsia="Bookman Old Style"/>
          <w:i/>
          <w:color w:val="000000"/>
          <w:spacing w:val="1"/>
          <w:lang w:val="en-GB"/>
        </w:rPr>
        <w:t xml:space="preserve"> </w:t>
      </w:r>
      <w:proofErr w:type="spellStart"/>
      <w:r w:rsidR="00843086" w:rsidRPr="00B05950">
        <w:rPr>
          <w:rFonts w:eastAsia="Bookman Old Style"/>
          <w:i/>
          <w:color w:val="000000"/>
          <w:spacing w:val="1"/>
          <w:lang w:val="en-GB"/>
        </w:rPr>
        <w:t>homologatória</w:t>
      </w:r>
      <w:proofErr w:type="spellEnd"/>
      <w:r w:rsidR="00843086" w:rsidRPr="00B05950">
        <w:rPr>
          <w:rFonts w:eastAsia="Garamond"/>
          <w:color w:val="000000"/>
          <w:spacing w:val="1"/>
          <w:lang w:val="en-GB"/>
        </w:rPr>
        <w:t>): This procedure can be conceptualised as a procedure by which the debtor files with the courts for homologation of an out-of-court reorganisation plan signed by all creditors subject to it. Court homologation of the plan is binding only on those parties that have entered the agreement. The only benefit of the Homologation of Consensus procedure, when compared to other private agreements (not ruled by the BBL), lies in the fact that the court homologation order constitutes an enforcement instrument (</w:t>
      </w:r>
      <w:proofErr w:type="spellStart"/>
      <w:r w:rsidR="00843086" w:rsidRPr="00B05950">
        <w:rPr>
          <w:rFonts w:eastAsia="Bookman Old Style"/>
          <w:i/>
          <w:color w:val="000000"/>
          <w:spacing w:val="1"/>
          <w:lang w:val="en-GB"/>
        </w:rPr>
        <w:t>título</w:t>
      </w:r>
      <w:proofErr w:type="spellEnd"/>
      <w:r w:rsidR="00843086" w:rsidRPr="00B05950">
        <w:rPr>
          <w:rFonts w:eastAsia="Bookman Old Style"/>
          <w:i/>
          <w:color w:val="000000"/>
          <w:spacing w:val="1"/>
          <w:lang w:val="en-GB"/>
        </w:rPr>
        <w:t xml:space="preserve"> </w:t>
      </w:r>
      <w:proofErr w:type="spellStart"/>
      <w:r w:rsidR="00843086" w:rsidRPr="00B05950">
        <w:rPr>
          <w:rFonts w:eastAsia="Bookman Old Style"/>
          <w:i/>
          <w:color w:val="000000"/>
          <w:spacing w:val="1"/>
          <w:lang w:val="en-GB"/>
        </w:rPr>
        <w:t>executivo</w:t>
      </w:r>
      <w:proofErr w:type="spellEnd"/>
      <w:r w:rsidR="00843086" w:rsidRPr="00B05950">
        <w:rPr>
          <w:rFonts w:eastAsia="Garamond"/>
          <w:color w:val="000000"/>
          <w:spacing w:val="1"/>
          <w:lang w:val="en-GB"/>
        </w:rPr>
        <w:t>), which can be enforced through a “fast-track” procedure.</w:t>
      </w:r>
    </w:p>
    <w:p w14:paraId="3E3744AC" w14:textId="25844327" w:rsidR="00843086" w:rsidRPr="00B05950" w:rsidRDefault="0082582B" w:rsidP="0082582B">
      <w:pPr>
        <w:tabs>
          <w:tab w:val="left" w:pos="68"/>
          <w:tab w:val="left" w:pos="720"/>
        </w:tabs>
        <w:textAlignment w:val="baseline"/>
        <w:rPr>
          <w:rFonts w:eastAsia="Garamond"/>
          <w:b/>
          <w:color w:val="000000"/>
          <w:lang w:val="en-GB"/>
        </w:rPr>
      </w:pPr>
      <w:r>
        <w:t xml:space="preserve">– </w:t>
      </w:r>
      <w:r w:rsidR="00843086" w:rsidRPr="0082582B">
        <w:rPr>
          <w:rFonts w:eastAsia="Garamond"/>
          <w:i/>
          <w:color w:val="000000"/>
          <w:lang w:val="en-GB"/>
        </w:rPr>
        <w:t>Enforcement of agreement</w:t>
      </w:r>
      <w:r w:rsidR="00843086" w:rsidRPr="00B05950">
        <w:rPr>
          <w:rFonts w:eastAsia="Garamond"/>
          <w:color w:val="000000"/>
          <w:lang w:val="en-GB"/>
        </w:rPr>
        <w:t xml:space="preserve"> (</w:t>
      </w:r>
      <w:proofErr w:type="spellStart"/>
      <w:r w:rsidR="00843086" w:rsidRPr="00B05950">
        <w:rPr>
          <w:rFonts w:eastAsia="Bookman Old Style"/>
          <w:i/>
          <w:color w:val="000000"/>
          <w:lang w:val="en-GB"/>
        </w:rPr>
        <w:t>recuperação</w:t>
      </w:r>
      <w:proofErr w:type="spellEnd"/>
      <w:r w:rsidR="00843086" w:rsidRPr="00B05950">
        <w:rPr>
          <w:rFonts w:eastAsia="Bookman Old Style"/>
          <w:i/>
          <w:color w:val="000000"/>
          <w:lang w:val="en-GB"/>
        </w:rPr>
        <w:t xml:space="preserve"> </w:t>
      </w:r>
      <w:proofErr w:type="spellStart"/>
      <w:r w:rsidR="00843086" w:rsidRPr="00B05950">
        <w:rPr>
          <w:rFonts w:eastAsia="Bookman Old Style"/>
          <w:i/>
          <w:color w:val="000000"/>
          <w:lang w:val="en-GB"/>
        </w:rPr>
        <w:t>impositiva</w:t>
      </w:r>
      <w:proofErr w:type="spellEnd"/>
      <w:r w:rsidR="00843086" w:rsidRPr="00B05950">
        <w:rPr>
          <w:rFonts w:eastAsia="Garamond"/>
          <w:color w:val="000000"/>
          <w:lang w:val="en-GB"/>
        </w:rPr>
        <w:t>)</w:t>
      </w:r>
      <w:r w:rsidR="00843086" w:rsidRPr="00311159">
        <w:rPr>
          <w:rFonts w:eastAsia="Garamond"/>
          <w:b/>
          <w:color w:val="000000"/>
          <w:lang w:val="en-GB"/>
        </w:rPr>
        <w:t xml:space="preserve">: </w:t>
      </w:r>
      <w:r w:rsidR="00843086" w:rsidRPr="00311159">
        <w:rPr>
          <w:rFonts w:eastAsia="Garamond"/>
          <w:color w:val="000000"/>
          <w:lang w:val="en-GB"/>
        </w:rPr>
        <w:t>This procedure calls for prior agreement and signature to the plan by creditors representing more than 60% of the credits of each class, type, or group of creditors subject to such plan.</w:t>
      </w:r>
      <w:r w:rsidR="00843086" w:rsidRPr="00311159">
        <w:rPr>
          <w:rStyle w:val="Marquenotebasdepage"/>
          <w:rFonts w:eastAsia="Garamond"/>
          <w:color w:val="000000"/>
          <w:lang w:val="en-GB"/>
        </w:rPr>
        <w:footnoteReference w:id="25"/>
      </w:r>
      <w:r w:rsidR="00843086" w:rsidRPr="00311159">
        <w:rPr>
          <w:rFonts w:eastAsia="Garamond"/>
          <w:color w:val="000000"/>
          <w:lang w:val="en-GB"/>
        </w:rPr>
        <w:t xml:space="preserve"> For calculation of the qualifying percentage, credits denominated in foreign currency are </w:t>
      </w:r>
      <w:r w:rsidR="00843086" w:rsidRPr="00311159">
        <w:rPr>
          <w:rFonts w:eastAsia="Garamond"/>
          <w:color w:val="000000"/>
          <w:lang w:val="en-GB"/>
        </w:rPr>
        <w:lastRenderedPageBreak/>
        <w:t>converted into Brazilian currency at the exchange rate effective on the day before the plan is signed.</w:t>
      </w:r>
      <w:r>
        <w:rPr>
          <w:rFonts w:eastAsia="Garamond"/>
          <w:b/>
          <w:color w:val="000000"/>
          <w:lang w:val="en-GB"/>
        </w:rPr>
        <w:t xml:space="preserve"> </w:t>
      </w:r>
      <w:r w:rsidR="00843086" w:rsidRPr="00B05950">
        <w:rPr>
          <w:rFonts w:eastAsia="Garamond"/>
          <w:color w:val="000000"/>
          <w:lang w:val="en-GB"/>
        </w:rPr>
        <w:t xml:space="preserve">In the Enforcement of Agreement procedure the court-recognized plan is binding on all creditors affected by the plan, whether or not they have </w:t>
      </w:r>
      <w:r w:rsidR="00843086" w:rsidRPr="00B05950">
        <w:rPr>
          <w:rFonts w:eastAsia="Times New Roman"/>
          <w:color w:val="000000"/>
          <w:lang w:val="en-GB"/>
        </w:rPr>
        <w:t>expressly and previously agreed with it, or even manifestly expressed opposition to it.</w:t>
      </w:r>
      <w:r>
        <w:rPr>
          <w:rFonts w:eastAsia="Garamond"/>
          <w:b/>
          <w:color w:val="000000"/>
          <w:lang w:val="en-GB"/>
        </w:rPr>
        <w:t xml:space="preserve"> </w:t>
      </w:r>
      <w:r w:rsidR="00843086" w:rsidRPr="00B05950">
        <w:rPr>
          <w:rFonts w:eastAsia="Times New Roman"/>
          <w:color w:val="000000"/>
          <w:lang w:val="en-GB"/>
        </w:rPr>
        <w:t>Provided the minimum percentage level of agreement has been met, the conditions specified in the plan are imposed on the creditors who did not sign it, and indeed on those who expressly rejected it. In other words, the BBL provides for a form of cram-down system.</w:t>
      </w:r>
    </w:p>
    <w:p w14:paraId="17755CCD" w14:textId="7CB93B01"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An out-of-court reorganisation plan can be initiated by a debtor</w:t>
      </w:r>
      <w:r w:rsidRPr="00311159">
        <w:rPr>
          <w:rStyle w:val="Marquenotebasdepage"/>
          <w:rFonts w:eastAsia="Times New Roman"/>
          <w:color w:val="000000"/>
          <w:lang w:val="en-GB"/>
        </w:rPr>
        <w:footnoteReference w:id="26"/>
      </w:r>
      <w:r w:rsidRPr="00311159">
        <w:rPr>
          <w:rFonts w:eastAsia="Times New Roman"/>
          <w:color w:val="000000"/>
          <w:lang w:val="en-GB"/>
        </w:rPr>
        <w:t>, a partner or shareholder of a debtor company, or the surviving spouse, heir or executor of an individual business debtor, if the debtor:</w:t>
      </w:r>
      <w:r w:rsidR="00AA4A55" w:rsidRPr="00311159">
        <w:rPr>
          <w:rFonts w:eastAsia="Times New Roman"/>
          <w:color w:val="000000"/>
          <w:spacing w:val="2"/>
          <w:lang w:val="en-GB"/>
        </w:rPr>
        <w:t xml:space="preserve"> </w:t>
      </w:r>
      <w:r w:rsidRPr="00311159">
        <w:rPr>
          <w:rFonts w:eastAsia="Times New Roman"/>
          <w:color w:val="000000"/>
          <w:spacing w:val="2"/>
          <w:lang w:val="en-GB"/>
        </w:rPr>
        <w:t>Meets the same legal requirements as for judicial reorganisation; and</w:t>
      </w:r>
      <w:r w:rsidR="00AA4A55" w:rsidRPr="00311159">
        <w:rPr>
          <w:rFonts w:eastAsia="Times New Roman"/>
          <w:color w:val="000000"/>
          <w:lang w:val="en-GB"/>
        </w:rPr>
        <w:t xml:space="preserve"> </w:t>
      </w:r>
      <w:r w:rsidRPr="00311159">
        <w:rPr>
          <w:rFonts w:eastAsia="Times New Roman"/>
          <w:color w:val="000000"/>
          <w:lang w:val="en-GB"/>
        </w:rPr>
        <w:t>Has not been subject to an out-of-court reorganisation ratified by a court within the last two years;</w:t>
      </w:r>
    </w:p>
    <w:p w14:paraId="0C75CFEF"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 debtor’s directors and officers remain in control of the debtor’s business and there is no court supervision.</w:t>
      </w:r>
    </w:p>
    <w:p w14:paraId="1EB6C4CA"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 effects of extrajudicial reorganisation do not reach those same creditors not covered by judicial reorganisation (please see item 6.2.1.8 above), nor the holders of labour claims.</w:t>
      </w:r>
    </w:p>
    <w:p w14:paraId="2593C5A7" w14:textId="69199138" w:rsidR="00843086" w:rsidRPr="00311159" w:rsidRDefault="00843086" w:rsidP="00E22BA4">
      <w:pPr>
        <w:textAlignment w:val="baseline"/>
        <w:rPr>
          <w:rFonts w:eastAsia="Times New Roman"/>
          <w:color w:val="000000"/>
          <w:lang w:val="en-GB"/>
        </w:rPr>
      </w:pPr>
      <w:r w:rsidRPr="00311159">
        <w:rPr>
          <w:rFonts w:eastAsia="Times New Roman"/>
          <w:color w:val="000000"/>
          <w:spacing w:val="2"/>
          <w:lang w:val="en-GB"/>
        </w:rPr>
        <w:t>Under the BBL, the plan produces effects in relation to the debtor and creditors that are subject to it only after it has been homologated by the court. However, since the nature of an out-of-court reorganisation is contractual, the signatories to the plan may agree differently in a case of Homologation of Consensus, so that the plan produces effects before its homologation in relation to the clauses that change the amount of the debt or the payment method. However, such a provision can only bind creditors who are signatories to the plan, since in the case of Enforcement of Agreement it will only produce effects after homologation by the court for all non-signatory creditors to the plan.</w:t>
      </w:r>
    </w:p>
    <w:p w14:paraId="31125C9A"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 plan is not binding on the parties if it is not homologated, and in this case the creditors resume the right to demand and enforce their respective credits and claims on the original conditions. However, any release of the creditors in case the plan is not homologated in court seems to be a contractual issue and would need to be reviewed on a case-by-case basis.</w:t>
      </w:r>
    </w:p>
    <w:p w14:paraId="28775DFB"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The procedure, which is common to both extrajudicial reorganisation modes, is rather straightforward and usually expeditious as no interlocutory decisions are involved; adversary proceedings are limited to an opposition against court homologation of the plan.</w:t>
      </w:r>
    </w:p>
    <w:p w14:paraId="065D3E74"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 xml:space="preserve">Once the petition is distributed, creditors will have 30 days from publication of the public notice calling creditors to challenge the homologation petition for non-fulfilment of any formal requirement; the financial and economic conditions proposed by </w:t>
      </w:r>
      <w:r w:rsidRPr="00311159">
        <w:rPr>
          <w:rFonts w:eastAsia="Times New Roman"/>
          <w:color w:val="000000"/>
          <w:lang w:val="en-GB"/>
        </w:rPr>
        <w:lastRenderedPageBreak/>
        <w:t>the debtor cannot be challenged at this point. This is because negotiations ended before the petition was filed, and applicable conditions are those stated in the plan.</w:t>
      </w:r>
    </w:p>
    <w:p w14:paraId="42319A91" w14:textId="77777777" w:rsidR="00843086" w:rsidRPr="00311159" w:rsidRDefault="00843086" w:rsidP="00E22BA4">
      <w:pPr>
        <w:textAlignment w:val="baseline"/>
        <w:rPr>
          <w:rFonts w:eastAsia="Times New Roman"/>
          <w:color w:val="000000"/>
          <w:lang w:val="en-GB"/>
        </w:rPr>
      </w:pPr>
      <w:r w:rsidRPr="00311159">
        <w:rPr>
          <w:rFonts w:eastAsia="Times New Roman"/>
          <w:color w:val="000000"/>
          <w:lang w:val="en-GB"/>
        </w:rPr>
        <w:t>If oppositions are made, the debtor will have five days to answer. The judge will have a like period to resolve on this issue and render a decision. If a pre-package plan is not homologated by the court, the debtor may continue to operate its business, file another pre-package plan or even seek to commence a judicial reorganisation. Upon homologation, the extrajudicial reorganisation plan becomes effective as regards all creditors covered by it, whether or not dissenting creditors have adhered to the plan.</w:t>
      </w:r>
    </w:p>
    <w:p w14:paraId="17B39776" w14:textId="2C38B566" w:rsidR="00843086" w:rsidRPr="00B05950" w:rsidRDefault="00843086" w:rsidP="00E22BA4">
      <w:pPr>
        <w:textAlignment w:val="baseline"/>
        <w:rPr>
          <w:rFonts w:eastAsia="Times New Roman"/>
          <w:color w:val="000000"/>
          <w:spacing w:val="1"/>
          <w:lang w:val="en-GB"/>
        </w:rPr>
      </w:pPr>
      <w:r w:rsidRPr="00311159">
        <w:rPr>
          <w:rFonts w:eastAsia="Times New Roman"/>
          <w:color w:val="000000"/>
          <w:spacing w:val="1"/>
          <w:lang w:val="en-GB"/>
        </w:rPr>
        <w:t xml:space="preserve">In brief, the new mechanisms tend to be on the one hand efficacious and fast, and on the other, less expensive, complex and traumatic. The judicial reorganisation tends to be adopted only when: </w:t>
      </w:r>
      <w:r w:rsidRPr="00311159">
        <w:rPr>
          <w:rFonts w:eastAsia="Verdana"/>
          <w:color w:val="000000"/>
          <w:spacing w:val="1"/>
          <w:lang w:val="en-GB"/>
        </w:rPr>
        <w:t xml:space="preserve">(1) </w:t>
      </w:r>
      <w:r w:rsidRPr="00311159">
        <w:rPr>
          <w:rFonts w:eastAsia="Times New Roman"/>
          <w:color w:val="000000"/>
          <w:spacing w:val="1"/>
          <w:lang w:val="en-GB"/>
        </w:rPr>
        <w:t xml:space="preserve">the out-of-court attempt has not been successful; </w:t>
      </w:r>
      <w:r w:rsidRPr="00311159">
        <w:rPr>
          <w:rFonts w:eastAsia="Verdana"/>
          <w:color w:val="000000"/>
          <w:spacing w:val="1"/>
          <w:lang w:val="en-GB"/>
        </w:rPr>
        <w:t xml:space="preserve">(2) </w:t>
      </w:r>
      <w:r w:rsidRPr="00311159">
        <w:rPr>
          <w:rFonts w:eastAsia="Times New Roman"/>
          <w:color w:val="000000"/>
          <w:spacing w:val="1"/>
          <w:lang w:val="en-GB"/>
        </w:rPr>
        <w:t xml:space="preserve">the profile of the debt is not appropriate for the use of out-of-court reorganisation procedures; (3) the debtor has to request and obtain a re-profiling of its tax debts; (4) the plan includes the sale of assets and there is interest in avoiding the risks of succession caused by tax and social security debts; (5) the plan contemplates acts capable of being considered ineffective in the event of adjudication of debtor’s bankruptcy (i.e. liquidation) and the creditors are interested in having specific protections against future </w:t>
      </w:r>
      <w:proofErr w:type="spellStart"/>
      <w:r w:rsidRPr="00311159">
        <w:rPr>
          <w:rFonts w:eastAsia="Times New Roman"/>
          <w:color w:val="000000"/>
          <w:spacing w:val="1"/>
          <w:lang w:val="en-GB"/>
        </w:rPr>
        <w:t>clawback</w:t>
      </w:r>
      <w:proofErr w:type="spellEnd"/>
      <w:r w:rsidRPr="00311159">
        <w:rPr>
          <w:rFonts w:eastAsia="Times New Roman"/>
          <w:color w:val="000000"/>
          <w:spacing w:val="1"/>
          <w:lang w:val="en-GB"/>
        </w:rPr>
        <w:t>/</w:t>
      </w:r>
      <w:proofErr w:type="spellStart"/>
      <w:r w:rsidRPr="00311159">
        <w:rPr>
          <w:rFonts w:eastAsia="Times New Roman"/>
          <w:color w:val="000000"/>
          <w:spacing w:val="1"/>
          <w:lang w:val="en-GB"/>
        </w:rPr>
        <w:t>revocatory</w:t>
      </w:r>
      <w:proofErr w:type="spellEnd"/>
      <w:r w:rsidRPr="00311159">
        <w:rPr>
          <w:rFonts w:eastAsia="Times New Roman"/>
          <w:color w:val="000000"/>
          <w:spacing w:val="1"/>
          <w:lang w:val="en-GB"/>
        </w:rPr>
        <w:t xml:space="preserve"> claims concerning such acts; and (6) when the plan includes adjustments of an operational nature that call for more specific monitoring or supervision.</w:t>
      </w:r>
    </w:p>
    <w:p w14:paraId="5FC652D9" w14:textId="14E4F4ED" w:rsidR="00843086" w:rsidRPr="00311159" w:rsidRDefault="00843086" w:rsidP="00E22BA4">
      <w:pPr>
        <w:pStyle w:val="Titre2"/>
        <w:rPr>
          <w:rFonts w:eastAsia="Bookman Old Style"/>
        </w:rPr>
      </w:pPr>
      <w:r w:rsidRPr="00311159">
        <w:rPr>
          <w:rFonts w:eastAsia="Bookman Old Style"/>
          <w:szCs w:val="24"/>
        </w:rPr>
        <w:tab/>
        <w:t>Cross-border insolvency rules</w:t>
      </w:r>
    </w:p>
    <w:p w14:paraId="5143A68B" w14:textId="297D2311" w:rsidR="001C2EBA" w:rsidRDefault="00843086" w:rsidP="001C2EBA">
      <w:pPr>
        <w:spacing w:before="310"/>
        <w:textAlignment w:val="baseline"/>
        <w:rPr>
          <w:rFonts w:eastAsia="Times New Roman"/>
          <w:color w:val="000000"/>
          <w:lang w:val="en-GB"/>
        </w:rPr>
      </w:pPr>
      <w:r w:rsidRPr="00311159">
        <w:rPr>
          <w:rFonts w:eastAsia="Times New Roman"/>
          <w:color w:val="000000"/>
          <w:lang w:val="en-GB"/>
        </w:rPr>
        <w:t xml:space="preserve">The BBL does not contain provisions governing cross-border insolvency cases. Also, the Brazilian legislature is currently considering </w:t>
      </w:r>
      <w:proofErr w:type="gramStart"/>
      <w:r w:rsidRPr="00311159">
        <w:rPr>
          <w:rFonts w:eastAsia="Times New Roman"/>
          <w:color w:val="000000"/>
          <w:lang w:val="en-GB"/>
        </w:rPr>
        <w:t>to amend</w:t>
      </w:r>
      <w:proofErr w:type="gramEnd"/>
      <w:r w:rsidRPr="00311159">
        <w:rPr>
          <w:rFonts w:eastAsia="Times New Roman"/>
          <w:color w:val="000000"/>
          <w:lang w:val="en-GB"/>
        </w:rPr>
        <w:t xml:space="preserve"> the BBL to adopt a version of the Model Law on Cross-Border Insolvency that was promulgated by the United </w:t>
      </w:r>
      <w:r w:rsidRPr="0082582B">
        <w:rPr>
          <w:rFonts w:eastAsia="Times New Roman"/>
          <w:color w:val="000000"/>
          <w:lang w:val="en-GB"/>
        </w:rPr>
        <w:t>Nations Commission on International Trade Law (“UNCITRAL”).</w:t>
      </w:r>
    </w:p>
    <w:p w14:paraId="40B716F2" w14:textId="77777777" w:rsidR="001C2EBA" w:rsidRDefault="001C2EBA">
      <w:pPr>
        <w:jc w:val="left"/>
        <w:rPr>
          <w:rFonts w:eastAsia="Times New Roman"/>
          <w:color w:val="000000"/>
          <w:lang w:val="en-GB"/>
        </w:rPr>
      </w:pPr>
      <w:r>
        <w:rPr>
          <w:rFonts w:eastAsia="Times New Roman"/>
          <w:color w:val="000000"/>
          <w:lang w:val="en-GB"/>
        </w:rPr>
        <w:br w:type="page"/>
      </w:r>
    </w:p>
    <w:p w14:paraId="433D80A5" w14:textId="77777777" w:rsidR="00B70D5C" w:rsidRPr="001C2EBA" w:rsidRDefault="00B70D5C" w:rsidP="001C2EBA">
      <w:pPr>
        <w:spacing w:before="310"/>
        <w:textAlignment w:val="baseline"/>
        <w:rPr>
          <w:rFonts w:eastAsia="Times New Roman"/>
          <w:color w:val="000000"/>
          <w:lang w:val="en-GB"/>
        </w:rPr>
      </w:pPr>
      <w:bookmarkStart w:id="0" w:name="_GoBack"/>
      <w:bookmarkEnd w:id="0"/>
    </w:p>
    <w:sectPr w:rsidR="00B70D5C" w:rsidRPr="001C2EBA" w:rsidSect="00083113">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2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BAAD" w14:textId="77777777" w:rsidR="00641090" w:rsidRDefault="00641090" w:rsidP="008508B6">
      <w:r>
        <w:separator/>
      </w:r>
    </w:p>
  </w:endnote>
  <w:endnote w:type="continuationSeparator" w:id="0">
    <w:p w14:paraId="0C000D91" w14:textId="77777777" w:rsidR="00641090" w:rsidRDefault="00641090"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Apple Garamond">
    <w:altName w:val="Times New Roman"/>
    <w:charset w:val="00"/>
    <w:family w:val="auto"/>
    <w:pitch w:val="variable"/>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8B4013" w:rsidRDefault="008B4013"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8B4013" w:rsidRDefault="008B4013"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00140789"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1C2EBA">
      <w:rPr>
        <w:rStyle w:val="Numrodepage"/>
        <w:noProof/>
      </w:rPr>
      <w:t>44</w:t>
    </w:r>
    <w:r w:rsidRPr="00687E5A">
      <w:rPr>
        <w:rStyle w:val="Numrodepage"/>
      </w:rPr>
      <w:fldChar w:fldCharType="end"/>
    </w:r>
    <w:r>
      <w:rPr>
        <w:rStyle w:val="Numrodepage"/>
      </w:rPr>
      <w:t xml:space="preserve"> –</w:t>
    </w:r>
  </w:p>
  <w:p w14:paraId="365A8967" w14:textId="76D2E5AE" w:rsidR="008B4013" w:rsidRPr="008C718B" w:rsidRDefault="008B4013"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407918D7" w14:textId="267397C9" w:rsidR="008B4013" w:rsidRPr="00097788" w:rsidRDefault="001C2EBA" w:rsidP="00614422">
    <w:pPr>
      <w:pStyle w:val="Pieddepage"/>
      <w:jc w:val="center"/>
      <w:rPr>
        <w:i/>
        <w:color w:val="0070C0"/>
        <w:sz w:val="16"/>
        <w:szCs w:val="16"/>
      </w:rPr>
    </w:pPr>
    <w:hyperlink r:id="rId1" w:history="1">
      <w:r w:rsidR="008B4013" w:rsidRPr="00B37D89">
        <w:rPr>
          <w:rStyle w:val="Lienhypertexte"/>
          <w:i/>
          <w:sz w:val="16"/>
          <w:szCs w:val="16"/>
        </w:rPr>
        <w:t>http://ojs.imodev.org/index.php/IJIL</w:t>
      </w:r>
    </w:hyperlink>
    <w:r w:rsidR="008B4013">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4EE63EDA"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1C2EBA">
      <w:rPr>
        <w:rStyle w:val="Numrodepage"/>
        <w:noProof/>
      </w:rPr>
      <w:t>21</w:t>
    </w:r>
    <w:r w:rsidRPr="00687E5A">
      <w:rPr>
        <w:rStyle w:val="Numrodepage"/>
      </w:rPr>
      <w:fldChar w:fldCharType="end"/>
    </w:r>
    <w:r>
      <w:rPr>
        <w:rStyle w:val="Numrodepage"/>
      </w:rPr>
      <w:t xml:space="preserve"> –</w:t>
    </w:r>
  </w:p>
  <w:p w14:paraId="59060A3C" w14:textId="35B513A6" w:rsidR="008B4013" w:rsidRPr="008C718B" w:rsidRDefault="008B4013"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69EF0AD9" w14:textId="54477524" w:rsidR="008B4013" w:rsidRPr="00097788" w:rsidRDefault="001C2EBA" w:rsidP="00B70D5C">
    <w:pPr>
      <w:pStyle w:val="Pieddepage"/>
      <w:jc w:val="center"/>
      <w:rPr>
        <w:i/>
        <w:color w:val="0070C0"/>
        <w:sz w:val="16"/>
        <w:szCs w:val="16"/>
      </w:rPr>
    </w:pPr>
    <w:hyperlink r:id="rId1" w:history="1">
      <w:r w:rsidR="00B70D5C" w:rsidRPr="00F101B4">
        <w:rPr>
          <w:rStyle w:val="Lienhypertexte"/>
          <w:i/>
          <w:sz w:val="16"/>
          <w:szCs w:val="16"/>
        </w:rPr>
        <w:t>http://ojs.imodev.org/index.php/IJIL</w:t>
      </w:r>
    </w:hyperlink>
    <w:r w:rsidR="00B70D5C">
      <w:rPr>
        <w:i/>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C8FAF" w14:textId="77777777" w:rsidR="00641090" w:rsidRDefault="00641090" w:rsidP="008508B6">
      <w:r>
        <w:separator/>
      </w:r>
    </w:p>
  </w:footnote>
  <w:footnote w:type="continuationSeparator" w:id="0">
    <w:p w14:paraId="3F91AA16" w14:textId="77777777" w:rsidR="00641090" w:rsidRDefault="00641090" w:rsidP="008508B6">
      <w:r>
        <w:continuationSeparator/>
      </w:r>
    </w:p>
  </w:footnote>
  <w:footnote w:id="1">
    <w:p w14:paraId="770F1883" w14:textId="2E94EAEF" w:rsidR="00843086" w:rsidRPr="00311159" w:rsidRDefault="00843086" w:rsidP="00311159">
      <w:pPr>
        <w:widowControl w:val="0"/>
        <w:textAlignment w:val="baseline"/>
        <w:rPr>
          <w:sz w:val="18"/>
          <w:szCs w:val="18"/>
        </w:rPr>
      </w:pPr>
      <w:r w:rsidRPr="00311159">
        <w:rPr>
          <w:rStyle w:val="Marquenotebasdepage"/>
          <w:sz w:val="18"/>
          <w:szCs w:val="18"/>
        </w:rPr>
        <w:footnoteRef/>
      </w:r>
      <w:r w:rsidRPr="00311159">
        <w:rPr>
          <w:sz w:val="18"/>
          <w:szCs w:val="18"/>
        </w:rPr>
        <w:t xml:space="preserve"> </w:t>
      </w:r>
      <w:r w:rsidRPr="00311159">
        <w:rPr>
          <w:rFonts w:eastAsia="Times New Roman"/>
          <w:sz w:val="18"/>
          <w:szCs w:val="18"/>
        </w:rPr>
        <w:t xml:space="preserve">Concurrently, Brazil enacted Supplementary Law nº </w:t>
      </w:r>
      <w:r w:rsidRPr="00311159">
        <w:rPr>
          <w:rFonts w:eastAsia="Verdana"/>
          <w:sz w:val="18"/>
          <w:szCs w:val="18"/>
        </w:rPr>
        <w:t xml:space="preserve">118/05, </w:t>
      </w:r>
      <w:r w:rsidRPr="00311159">
        <w:rPr>
          <w:rFonts w:eastAsia="Times New Roman"/>
          <w:sz w:val="18"/>
          <w:szCs w:val="18"/>
        </w:rPr>
        <w:t>which summarizes relevant aspects of Brazil’s tax laws with the BBL.</w:t>
      </w:r>
    </w:p>
  </w:footnote>
  <w:footnote w:id="2">
    <w:p w14:paraId="51646D29" w14:textId="2205AD91"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Times New Roman"/>
          <w:szCs w:val="18"/>
        </w:rPr>
        <w:t xml:space="preserve">BBL, Chapter III, Section. </w:t>
      </w:r>
      <w:r w:rsidRPr="00311159">
        <w:rPr>
          <w:rFonts w:eastAsia="Verdana"/>
          <w:szCs w:val="18"/>
        </w:rPr>
        <w:t xml:space="preserve">1, </w:t>
      </w:r>
      <w:r w:rsidRPr="00311159">
        <w:rPr>
          <w:rFonts w:eastAsia="Times New Roman"/>
          <w:szCs w:val="18"/>
        </w:rPr>
        <w:t>art. 47.</w:t>
      </w:r>
    </w:p>
  </w:footnote>
  <w:footnote w:id="3">
    <w:p w14:paraId="230FEDB8" w14:textId="4EE045E1" w:rsidR="00843086" w:rsidRPr="00311159" w:rsidRDefault="00843086" w:rsidP="00311159">
      <w:pPr>
        <w:widowControl w:val="0"/>
        <w:textAlignment w:val="baseline"/>
      </w:pPr>
      <w:r w:rsidRPr="00311159">
        <w:rPr>
          <w:rStyle w:val="Marquenotebasdepage"/>
          <w:sz w:val="18"/>
          <w:szCs w:val="18"/>
        </w:rPr>
        <w:footnoteRef/>
      </w:r>
      <w:r w:rsidRPr="00311159">
        <w:rPr>
          <w:sz w:val="18"/>
          <w:szCs w:val="18"/>
        </w:rPr>
        <w:t xml:space="preserve"> </w:t>
      </w:r>
      <w:r w:rsidRPr="00311159">
        <w:rPr>
          <w:rFonts w:eastAsia="Garamond"/>
          <w:sz w:val="18"/>
          <w:szCs w:val="18"/>
        </w:rPr>
        <w:t xml:space="preserve">The BBL relaxes the principle requiring debtors to provide identical treatment for each claim existing within a particular class of claims (par </w:t>
      </w:r>
      <w:proofErr w:type="spellStart"/>
      <w:r w:rsidRPr="00311159">
        <w:rPr>
          <w:rFonts w:eastAsia="Garamond"/>
          <w:sz w:val="18"/>
          <w:szCs w:val="18"/>
        </w:rPr>
        <w:t>conditio</w:t>
      </w:r>
      <w:proofErr w:type="spellEnd"/>
      <w:r w:rsidRPr="00311159">
        <w:rPr>
          <w:rFonts w:eastAsia="Garamond"/>
          <w:sz w:val="18"/>
          <w:szCs w:val="18"/>
        </w:rPr>
        <w:t xml:space="preserve"> </w:t>
      </w:r>
      <w:proofErr w:type="spellStart"/>
      <w:r w:rsidRPr="00311159">
        <w:rPr>
          <w:rFonts w:eastAsia="Garamond"/>
          <w:sz w:val="18"/>
          <w:szCs w:val="18"/>
        </w:rPr>
        <w:t>creditorum</w:t>
      </w:r>
      <w:proofErr w:type="spellEnd"/>
      <w:r w:rsidRPr="00311159">
        <w:rPr>
          <w:rFonts w:eastAsia="Garamond"/>
          <w:sz w:val="18"/>
          <w:szCs w:val="18"/>
        </w:rPr>
        <w:t xml:space="preserve">), A good example of the application of this new concept is the Judicial </w:t>
      </w:r>
      <w:proofErr w:type="spellStart"/>
      <w:r w:rsidRPr="00311159">
        <w:rPr>
          <w:rFonts w:eastAsia="Garamond"/>
          <w:sz w:val="18"/>
          <w:szCs w:val="18"/>
        </w:rPr>
        <w:t>Reorganisation</w:t>
      </w:r>
      <w:proofErr w:type="spellEnd"/>
      <w:r w:rsidRPr="00311159">
        <w:rPr>
          <w:rFonts w:eastAsia="Garamond"/>
          <w:sz w:val="18"/>
          <w:szCs w:val="18"/>
        </w:rPr>
        <w:t xml:space="preserve"> of </w:t>
      </w:r>
      <w:proofErr w:type="spellStart"/>
      <w:r w:rsidRPr="00311159">
        <w:rPr>
          <w:rFonts w:eastAsia="Garamond"/>
          <w:sz w:val="18"/>
          <w:szCs w:val="18"/>
        </w:rPr>
        <w:t>Stampafare</w:t>
      </w:r>
      <w:proofErr w:type="spellEnd"/>
      <w:r w:rsidRPr="00311159">
        <w:rPr>
          <w:rFonts w:eastAsia="Garamond"/>
          <w:sz w:val="18"/>
          <w:szCs w:val="18"/>
        </w:rPr>
        <w:t xml:space="preserve"> </w:t>
      </w:r>
      <w:proofErr w:type="spellStart"/>
      <w:r w:rsidRPr="00311159">
        <w:rPr>
          <w:rFonts w:eastAsia="Garamond"/>
          <w:sz w:val="18"/>
          <w:szCs w:val="18"/>
        </w:rPr>
        <w:t>Embalagem</w:t>
      </w:r>
      <w:proofErr w:type="spellEnd"/>
      <w:r w:rsidRPr="00311159">
        <w:rPr>
          <w:rFonts w:eastAsia="Garamond"/>
          <w:sz w:val="18"/>
          <w:szCs w:val="18"/>
        </w:rPr>
        <w:t xml:space="preserve"> Ltda. In this case, the largest creditor-supplier possessed an “in rem guarantee” claim (the equivalent of a secured claim) against the debtor. The creditor-supplier agreed to support a proposed </w:t>
      </w:r>
      <w:proofErr w:type="spellStart"/>
      <w:r w:rsidRPr="00311159">
        <w:rPr>
          <w:rFonts w:eastAsia="Garamond"/>
          <w:sz w:val="18"/>
          <w:szCs w:val="18"/>
        </w:rPr>
        <w:t>reorganisation</w:t>
      </w:r>
      <w:proofErr w:type="spellEnd"/>
      <w:r w:rsidRPr="00311159">
        <w:rPr>
          <w:rFonts w:eastAsia="Garamond"/>
          <w:sz w:val="18"/>
          <w:szCs w:val="18"/>
        </w:rPr>
        <w:t xml:space="preserve"> plan in which a significant portion of its claim would be paid after all other creditors (including creditors in classes lower in priority of repayment in the event of a Bankruptcy Liquidation) received their distributions in full under the plan. Also, the creditor-supplier and another supplier agreed to extend credit lines to the debtor and a bank provided “post-petition” financing. The proposed plan was approved by the vast majority creditors and confirmed by the court. Besides, and in line with the flexibility idea, current jurisprudence admits the payment of unsecured creditors before secured ones in certain circumstances. In fact, several plans of </w:t>
      </w:r>
      <w:proofErr w:type="spellStart"/>
      <w:r w:rsidRPr="00311159">
        <w:rPr>
          <w:rFonts w:eastAsia="Garamond"/>
          <w:sz w:val="18"/>
          <w:szCs w:val="18"/>
        </w:rPr>
        <w:t>reorganisation</w:t>
      </w:r>
      <w:proofErr w:type="spellEnd"/>
      <w:r w:rsidRPr="00311159">
        <w:rPr>
          <w:rFonts w:eastAsia="Garamond"/>
          <w:sz w:val="18"/>
          <w:szCs w:val="18"/>
        </w:rPr>
        <w:t xml:space="preserve"> approved in the past three years contemplated the possibility to pay “strategic creditors” with priority to other creditors, regardless of their credit quality.</w:t>
      </w:r>
    </w:p>
  </w:footnote>
  <w:footnote w:id="4">
    <w:p w14:paraId="134A53EA" w14:textId="0CE5970B"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Garamond"/>
          <w:szCs w:val="18"/>
        </w:rPr>
        <w:t>Despite this prohibition, the attempt to prevent negotiation between debtors and creditors, as introduced in the Brazilian legal system by the Prior Bankruptcy Law, did not work out since debtors frequently negotiated through fronting parties the assignment of credits at a discount that was not always the same for all creditors. This means that there have always been negotiations between debtors and creditors, albeit outside the realm of the law.</w:t>
      </w:r>
    </w:p>
  </w:footnote>
  <w:footnote w:id="5">
    <w:p w14:paraId="07EB3AEA" w14:textId="5EE02D5A"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Garamond"/>
          <w:szCs w:val="18"/>
        </w:rPr>
        <w:t xml:space="preserve">The </w:t>
      </w:r>
      <w:proofErr w:type="spellStart"/>
      <w:r w:rsidRPr="00311159">
        <w:rPr>
          <w:rFonts w:eastAsia="Garamond"/>
          <w:szCs w:val="18"/>
        </w:rPr>
        <w:t>concordata</w:t>
      </w:r>
      <w:proofErr w:type="spellEnd"/>
      <w:r w:rsidRPr="00311159">
        <w:rPr>
          <w:rFonts w:eastAsia="Garamond"/>
          <w:szCs w:val="18"/>
        </w:rPr>
        <w:t xml:space="preserve"> was based, in part, on the principle of </w:t>
      </w:r>
      <w:r w:rsidRPr="00311159">
        <w:rPr>
          <w:rFonts w:eastAsia="Garamond"/>
          <w:i/>
          <w:szCs w:val="18"/>
        </w:rPr>
        <w:t xml:space="preserve">par </w:t>
      </w:r>
      <w:proofErr w:type="spellStart"/>
      <w:r w:rsidRPr="00311159">
        <w:rPr>
          <w:rFonts w:eastAsia="Garamond"/>
          <w:i/>
          <w:szCs w:val="18"/>
        </w:rPr>
        <w:t>conditio</w:t>
      </w:r>
      <w:proofErr w:type="spellEnd"/>
      <w:r w:rsidRPr="00311159">
        <w:rPr>
          <w:rFonts w:eastAsia="Garamond"/>
          <w:i/>
          <w:szCs w:val="18"/>
        </w:rPr>
        <w:t xml:space="preserve"> </w:t>
      </w:r>
      <w:proofErr w:type="spellStart"/>
      <w:r w:rsidRPr="00311159">
        <w:rPr>
          <w:rFonts w:eastAsia="Garamond"/>
          <w:i/>
          <w:szCs w:val="18"/>
        </w:rPr>
        <w:t>creditorum</w:t>
      </w:r>
      <w:proofErr w:type="spellEnd"/>
      <w:r w:rsidRPr="00311159">
        <w:rPr>
          <w:rFonts w:eastAsia="Garamond"/>
          <w:szCs w:val="18"/>
        </w:rPr>
        <w:t>, that is, the requirement that a debtor provide identical treatment to all claims or interests within a particular class of claims.</w:t>
      </w:r>
    </w:p>
  </w:footnote>
  <w:footnote w:id="6">
    <w:p w14:paraId="663FE70A" w14:textId="77777777"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Garamond"/>
          <w:szCs w:val="18"/>
        </w:rPr>
        <w:t xml:space="preserve">In its most basic form, a preventive </w:t>
      </w:r>
      <w:proofErr w:type="spellStart"/>
      <w:r w:rsidRPr="00311159">
        <w:rPr>
          <w:rFonts w:eastAsia="Garamond"/>
          <w:szCs w:val="18"/>
        </w:rPr>
        <w:t>concordata</w:t>
      </w:r>
      <w:proofErr w:type="spellEnd"/>
      <w:r w:rsidRPr="00311159">
        <w:rPr>
          <w:rFonts w:eastAsia="Garamond"/>
          <w:szCs w:val="18"/>
        </w:rPr>
        <w:t xml:space="preserve"> (a form of’ the </w:t>
      </w:r>
      <w:proofErr w:type="spellStart"/>
      <w:r w:rsidRPr="00311159">
        <w:rPr>
          <w:rFonts w:eastAsia="Garamond"/>
          <w:szCs w:val="18"/>
        </w:rPr>
        <w:t>concordata</w:t>
      </w:r>
      <w:proofErr w:type="spellEnd"/>
      <w:r w:rsidRPr="00311159">
        <w:rPr>
          <w:rFonts w:eastAsia="Garamond"/>
          <w:szCs w:val="18"/>
        </w:rPr>
        <w:t xml:space="preserve">) granted debtors a discharge for a percentage of unsecured claims determined by a statutory formula (capped at a maximum of 50 percent of total unsecured claims). However, the discharge provided by the preventive </w:t>
      </w:r>
      <w:proofErr w:type="spellStart"/>
      <w:r w:rsidRPr="00311159">
        <w:rPr>
          <w:rFonts w:eastAsia="Garamond"/>
          <w:szCs w:val="18"/>
        </w:rPr>
        <w:t>concordata</w:t>
      </w:r>
      <w:proofErr w:type="spellEnd"/>
      <w:r w:rsidRPr="00311159">
        <w:rPr>
          <w:rFonts w:eastAsia="Garamond"/>
          <w:szCs w:val="18"/>
        </w:rPr>
        <w:t xml:space="preserve"> was potentially illusory. Debtors were limited to a 24-month period from commencement of a preventive </w:t>
      </w:r>
      <w:proofErr w:type="spellStart"/>
      <w:r w:rsidRPr="00311159">
        <w:rPr>
          <w:rFonts w:eastAsia="Garamond"/>
          <w:szCs w:val="18"/>
        </w:rPr>
        <w:t>concordata</w:t>
      </w:r>
      <w:proofErr w:type="spellEnd"/>
      <w:r w:rsidRPr="00311159">
        <w:rPr>
          <w:rFonts w:eastAsia="Garamond"/>
          <w:szCs w:val="18"/>
        </w:rPr>
        <w:t xml:space="preserve"> to make the required payments to holders of unsecured claims, and the allowable percentage discharge decreased during this 24-month period, depending on the date that the debtor actually made payment (e.g., the allowed discharge was 50 percent of total unsecured claims if payment was made at the beginning of the preventive </w:t>
      </w:r>
      <w:proofErr w:type="spellStart"/>
      <w:r w:rsidRPr="00311159">
        <w:rPr>
          <w:rFonts w:eastAsia="Garamond"/>
          <w:szCs w:val="18"/>
        </w:rPr>
        <w:t>concordata</w:t>
      </w:r>
      <w:proofErr w:type="spellEnd"/>
      <w:r w:rsidRPr="00311159">
        <w:rPr>
          <w:rFonts w:eastAsia="Garamond"/>
          <w:szCs w:val="18"/>
        </w:rPr>
        <w:t>) and decreased to no discharge (if the debtor was unable to pay claimants until the end of the 24-month period).</w:t>
      </w:r>
    </w:p>
  </w:footnote>
  <w:footnote w:id="7">
    <w:p w14:paraId="649AEA11" w14:textId="7B72526B" w:rsidR="00843086" w:rsidRPr="00310E7C" w:rsidRDefault="00843086" w:rsidP="00311159">
      <w:pPr>
        <w:pStyle w:val="Notedebasdepage"/>
        <w:widowControl w:val="0"/>
        <w:rPr>
          <w:rFonts w:eastAsia="Times New Roman"/>
          <w:szCs w:val="18"/>
          <w:lang w:val="en-GB"/>
        </w:rPr>
      </w:pPr>
      <w:r w:rsidRPr="00311159">
        <w:rPr>
          <w:rStyle w:val="Marquenotebasdepage"/>
          <w:szCs w:val="18"/>
        </w:rPr>
        <w:footnoteRef/>
      </w:r>
      <w:r w:rsidRPr="00311159">
        <w:rPr>
          <w:szCs w:val="18"/>
        </w:rPr>
        <w:t xml:space="preserve"> </w:t>
      </w:r>
      <w:r w:rsidR="003A685D">
        <w:rPr>
          <w:rFonts w:eastAsia="Times New Roman"/>
          <w:szCs w:val="18"/>
          <w:lang w:val="en-GB"/>
        </w:rPr>
        <w:t xml:space="preserve">L. </w:t>
      </w:r>
      <w:proofErr w:type="spellStart"/>
      <w:r w:rsidR="00311159">
        <w:rPr>
          <w:rFonts w:eastAsia="Times New Roman"/>
          <w:smallCaps/>
          <w:szCs w:val="18"/>
          <w:lang w:val="en-GB"/>
        </w:rPr>
        <w:t>Paiva</w:t>
      </w:r>
      <w:proofErr w:type="spellEnd"/>
      <w:r w:rsidR="00774721">
        <w:rPr>
          <w:rFonts w:eastAsia="Times New Roman"/>
          <w:smallCaps/>
          <w:szCs w:val="18"/>
          <w:lang w:val="en-GB"/>
        </w:rPr>
        <w:t>,</w:t>
      </w:r>
      <w:r w:rsidRPr="00311159">
        <w:rPr>
          <w:rFonts w:eastAsia="Times New Roman"/>
          <w:szCs w:val="18"/>
          <w:lang w:val="en-GB"/>
        </w:rPr>
        <w:t xml:space="preserve"> </w:t>
      </w:r>
      <w:r w:rsidR="003A685D">
        <w:rPr>
          <w:rFonts w:eastAsia="Times New Roman"/>
          <w:szCs w:val="18"/>
          <w:lang w:val="en-GB"/>
        </w:rPr>
        <w:t>C.</w:t>
      </w:r>
      <w:r w:rsidRPr="00311159">
        <w:rPr>
          <w:rFonts w:eastAsia="Times New Roman"/>
          <w:szCs w:val="18"/>
          <w:lang w:val="en-GB"/>
        </w:rPr>
        <w:t xml:space="preserve"> </w:t>
      </w:r>
      <w:proofErr w:type="spellStart"/>
      <w:r w:rsidRPr="00311159">
        <w:rPr>
          <w:rFonts w:eastAsia="Times New Roman"/>
          <w:smallCaps/>
          <w:szCs w:val="18"/>
          <w:lang w:val="en-GB"/>
        </w:rPr>
        <w:t>Jarvinen</w:t>
      </w:r>
      <w:proofErr w:type="spellEnd"/>
      <w:r w:rsidRPr="00311159">
        <w:rPr>
          <w:rFonts w:eastAsia="Times New Roman"/>
          <w:szCs w:val="18"/>
          <w:lang w:val="en-GB"/>
        </w:rPr>
        <w:t>, “The New Bankruptcy and Restructuring Law in Brazil</w:t>
      </w:r>
      <w:r w:rsidR="003A685D">
        <w:rPr>
          <w:rFonts w:eastAsia="Times New Roman"/>
          <w:szCs w:val="18"/>
          <w:lang w:val="en-GB"/>
        </w:rPr>
        <w:t>”</w:t>
      </w:r>
      <w:r w:rsidRPr="00311159">
        <w:rPr>
          <w:rFonts w:eastAsia="Times New Roman"/>
          <w:szCs w:val="18"/>
          <w:lang w:val="en-GB"/>
        </w:rPr>
        <w:t xml:space="preserve">, </w:t>
      </w:r>
      <w:r w:rsidRPr="00311159">
        <w:rPr>
          <w:rFonts w:eastAsia="Times New Roman"/>
          <w:i/>
          <w:szCs w:val="18"/>
          <w:lang w:val="en-GB"/>
        </w:rPr>
        <w:t>28th Annual Current Developments in Bankruptcy &amp; Reorganization</w:t>
      </w:r>
      <w:r w:rsidRPr="00311159">
        <w:rPr>
          <w:rFonts w:eastAsia="Times New Roman"/>
          <w:szCs w:val="18"/>
          <w:lang w:val="en-GB"/>
        </w:rPr>
        <w:t>, volum</w:t>
      </w:r>
      <w:r w:rsidR="00071D56">
        <w:rPr>
          <w:rFonts w:eastAsia="Times New Roman"/>
          <w:szCs w:val="18"/>
          <w:lang w:val="en-GB"/>
        </w:rPr>
        <w:t>e two, Practising Law Institute, 2006.</w:t>
      </w:r>
    </w:p>
  </w:footnote>
  <w:footnote w:id="8">
    <w:p w14:paraId="261288D6" w14:textId="60E6EB8E" w:rsidR="00843086" w:rsidRPr="00311159" w:rsidRDefault="00843086" w:rsidP="00311159">
      <w:pPr>
        <w:pStyle w:val="Notedebasdepage"/>
        <w:widowControl w:val="0"/>
        <w:tabs>
          <w:tab w:val="left" w:pos="142"/>
        </w:tabs>
        <w:rPr>
          <w:szCs w:val="18"/>
        </w:rPr>
      </w:pPr>
      <w:r w:rsidRPr="00311159">
        <w:rPr>
          <w:rStyle w:val="Marquenotebasdepage"/>
          <w:szCs w:val="18"/>
        </w:rPr>
        <w:footnoteRef/>
      </w:r>
      <w:r w:rsidRPr="00311159">
        <w:rPr>
          <w:szCs w:val="18"/>
        </w:rPr>
        <w:t xml:space="preserve"> </w:t>
      </w:r>
      <w:r w:rsidRPr="00311159">
        <w:rPr>
          <w:szCs w:val="18"/>
        </w:rPr>
        <w:tab/>
        <w:t xml:space="preserve">For instance, please refer to the Superior Court of Justice’s precedent </w:t>
      </w:r>
      <w:proofErr w:type="spellStart"/>
      <w:r w:rsidRPr="00311159">
        <w:rPr>
          <w:szCs w:val="18"/>
        </w:rPr>
        <w:t>REsp</w:t>
      </w:r>
      <w:proofErr w:type="spellEnd"/>
      <w:r w:rsidR="00FB50AC">
        <w:rPr>
          <w:szCs w:val="18"/>
        </w:rPr>
        <w:t xml:space="preserve"> no. 1,314,209 – SP, ruled by</w:t>
      </w:r>
      <w:r w:rsidRPr="00311159">
        <w:rPr>
          <w:szCs w:val="18"/>
        </w:rPr>
        <w:t xml:space="preserve"> the 3</w:t>
      </w:r>
      <w:r w:rsidRPr="00311159">
        <w:rPr>
          <w:szCs w:val="18"/>
          <w:vertAlign w:val="superscript"/>
        </w:rPr>
        <w:t>rd</w:t>
      </w:r>
      <w:r w:rsidRPr="00311159">
        <w:rPr>
          <w:szCs w:val="18"/>
        </w:rPr>
        <w:t xml:space="preserve"> panel, justice Nancy </w:t>
      </w:r>
      <w:proofErr w:type="spellStart"/>
      <w:r w:rsidRPr="00311159">
        <w:rPr>
          <w:szCs w:val="18"/>
        </w:rPr>
        <w:t>Andrighi</w:t>
      </w:r>
      <w:proofErr w:type="spellEnd"/>
      <w:r w:rsidRPr="00311159">
        <w:rPr>
          <w:szCs w:val="18"/>
        </w:rPr>
        <w:t>, ruled on 5.22.12.</w:t>
      </w:r>
    </w:p>
  </w:footnote>
  <w:footnote w:id="9">
    <w:p w14:paraId="30183A7B" w14:textId="77777777"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Times New Roman"/>
          <w:szCs w:val="18"/>
          <w:lang w:val="en-GB"/>
        </w:rPr>
        <w:t>Legislation (unified legislation or fragmented), precedents, main handbooks.</w:t>
      </w:r>
    </w:p>
  </w:footnote>
  <w:footnote w:id="10">
    <w:p w14:paraId="05A99C7E" w14:textId="5EC370C8" w:rsidR="00843086" w:rsidRPr="00311159" w:rsidRDefault="00843086" w:rsidP="00311159">
      <w:pPr>
        <w:widowControl w:val="0"/>
        <w:textAlignment w:val="baseline"/>
        <w:rPr>
          <w:lang w:val="en-GB"/>
        </w:rPr>
      </w:pPr>
      <w:r w:rsidRPr="00311159">
        <w:rPr>
          <w:rStyle w:val="Marquenotebasdepage"/>
          <w:sz w:val="18"/>
          <w:szCs w:val="18"/>
        </w:rPr>
        <w:footnoteRef/>
      </w:r>
      <w:r w:rsidRPr="00311159">
        <w:rPr>
          <w:sz w:val="18"/>
          <w:szCs w:val="18"/>
        </w:rPr>
        <w:t xml:space="preserve"> </w:t>
      </w:r>
      <w:r w:rsidRPr="00311159">
        <w:rPr>
          <w:rFonts w:eastAsia="Times New Roman"/>
          <w:sz w:val="18"/>
          <w:szCs w:val="18"/>
          <w:lang w:val="en-GB"/>
        </w:rPr>
        <w:t>Forms of security acknowledged by the system.</w:t>
      </w:r>
    </w:p>
  </w:footnote>
  <w:footnote w:id="11">
    <w:p w14:paraId="56E55195" w14:textId="518FCACE"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Times New Roman"/>
          <w:szCs w:val="18"/>
          <w:lang w:val="en-GB"/>
        </w:rPr>
        <w:t xml:space="preserve">Regulator/ supervisor, regulation of insolvency practitioners, role of judiciary in insolvency related matters (both liquidation and rescue). Professional qualifications, and disciplinary arrangements for insolvency practitioners, to which practitioners are subject (lawyers/accountants/other </w:t>
      </w:r>
      <w:r w:rsidR="00774721">
        <w:rPr>
          <w:rFonts w:eastAsia="Times New Roman"/>
          <w:color w:val="000000"/>
          <w:lang w:val="en-GB"/>
        </w:rPr>
        <w:t>–</w:t>
      </w:r>
      <w:r w:rsidRPr="00311159">
        <w:rPr>
          <w:rFonts w:eastAsia="Times New Roman"/>
          <w:szCs w:val="18"/>
          <w:lang w:val="en-GB"/>
        </w:rPr>
        <w:t xml:space="preserve"> e.g. directly authorised). (Code of ethics, trust accounts etc.). The judicial structures in place to deal with insolvency matters, in addition to the </w:t>
      </w:r>
      <w:r w:rsidR="00774721">
        <w:rPr>
          <w:rFonts w:eastAsia="Times New Roman"/>
          <w:szCs w:val="18"/>
          <w:lang w:val="en-GB"/>
        </w:rPr>
        <w:t>“</w:t>
      </w:r>
      <w:r w:rsidRPr="00311159">
        <w:rPr>
          <w:rFonts w:eastAsia="Times New Roman"/>
          <w:szCs w:val="18"/>
          <w:lang w:val="en-GB"/>
        </w:rPr>
        <w:t>role</w:t>
      </w:r>
      <w:r w:rsidR="00774721">
        <w:rPr>
          <w:rFonts w:eastAsia="Times New Roman"/>
          <w:szCs w:val="18"/>
          <w:lang w:val="en-GB"/>
        </w:rPr>
        <w:t>”</w:t>
      </w:r>
      <w:r w:rsidRPr="00311159">
        <w:rPr>
          <w:rFonts w:eastAsia="Times New Roman"/>
          <w:szCs w:val="18"/>
          <w:lang w:val="en-GB"/>
        </w:rPr>
        <w:t xml:space="preserve"> of the judiciary (i.e. special insolvency or commercial courts/combined jurisdiction/administrative officials/other).</w:t>
      </w:r>
    </w:p>
  </w:footnote>
  <w:footnote w:id="12">
    <w:p w14:paraId="3677A9BB" w14:textId="77777777"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Verdana"/>
          <w:szCs w:val="18"/>
          <w:lang w:val="en-GB"/>
        </w:rPr>
        <w:t xml:space="preserve">Topic </w:t>
      </w:r>
      <w:r w:rsidRPr="00311159">
        <w:rPr>
          <w:rFonts w:eastAsia="Times New Roman"/>
          <w:szCs w:val="18"/>
          <w:lang w:val="en-GB"/>
        </w:rPr>
        <w:t xml:space="preserve">written jointly with Thiago Braga </w:t>
      </w:r>
      <w:proofErr w:type="spellStart"/>
      <w:r w:rsidRPr="00311159">
        <w:rPr>
          <w:rFonts w:eastAsia="Times New Roman"/>
          <w:szCs w:val="18"/>
          <w:lang w:val="en-GB"/>
        </w:rPr>
        <w:t>Junqueira</w:t>
      </w:r>
      <w:proofErr w:type="spellEnd"/>
      <w:r w:rsidRPr="00311159">
        <w:rPr>
          <w:rFonts w:eastAsia="Times New Roman"/>
          <w:szCs w:val="18"/>
          <w:lang w:val="en-GB"/>
        </w:rPr>
        <w:t>.</w:t>
      </w:r>
    </w:p>
  </w:footnote>
  <w:footnote w:id="13">
    <w:p w14:paraId="27B7344A" w14:textId="268A6D19" w:rsidR="00843086" w:rsidRPr="00311159" w:rsidRDefault="00843086" w:rsidP="00311159">
      <w:pPr>
        <w:widowControl w:val="0"/>
        <w:textAlignment w:val="baseline"/>
        <w:rPr>
          <w:rFonts w:eastAsia="Times New Roman"/>
          <w:sz w:val="18"/>
          <w:szCs w:val="18"/>
          <w:lang w:val="en-GB"/>
        </w:rPr>
      </w:pPr>
      <w:r w:rsidRPr="00311159">
        <w:rPr>
          <w:rStyle w:val="Marquenotebasdepage"/>
          <w:sz w:val="18"/>
          <w:szCs w:val="18"/>
        </w:rPr>
        <w:footnoteRef/>
      </w:r>
      <w:r w:rsidRPr="00311159">
        <w:rPr>
          <w:sz w:val="18"/>
          <w:szCs w:val="18"/>
        </w:rPr>
        <w:t xml:space="preserve"> </w:t>
      </w:r>
      <w:r w:rsidRPr="00311159">
        <w:rPr>
          <w:rFonts w:eastAsia="Times New Roman"/>
          <w:sz w:val="18"/>
          <w:szCs w:val="18"/>
          <w:lang w:val="en-GB"/>
        </w:rPr>
        <w:t>Only the assets eligible to attachment may be collected. CC states a few assets which</w:t>
      </w:r>
      <w:r w:rsidR="00AA4A55">
        <w:rPr>
          <w:rFonts w:eastAsia="Times New Roman"/>
          <w:sz w:val="18"/>
          <w:szCs w:val="18"/>
          <w:lang w:val="en-GB"/>
        </w:rPr>
        <w:t xml:space="preserve"> </w:t>
      </w:r>
      <w:r w:rsidRPr="00311159">
        <w:rPr>
          <w:rFonts w:eastAsia="Times New Roman"/>
          <w:sz w:val="18"/>
          <w:szCs w:val="18"/>
          <w:lang w:val="en-GB"/>
        </w:rPr>
        <w:t>are not eligible for attachment, including the residence of the debtor’s family. This protection, however, does not apply in cases of collection of debt resulting from a loan taken out to finance the purchase of the house.</w:t>
      </w:r>
    </w:p>
    <w:p w14:paraId="3A5DCE0E" w14:textId="77777777" w:rsidR="00843086" w:rsidRPr="00311159" w:rsidRDefault="00843086">
      <w:pPr>
        <w:pStyle w:val="Notedebasdepage"/>
        <w:rPr>
          <w:szCs w:val="18"/>
          <w:lang w:val="en-GB"/>
        </w:rPr>
      </w:pPr>
    </w:p>
  </w:footnote>
  <w:footnote w:id="14">
    <w:p w14:paraId="3BB6BA64" w14:textId="2E46640A"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Verdana"/>
          <w:szCs w:val="18"/>
          <w:lang w:val="en-GB"/>
        </w:rPr>
        <w:t xml:space="preserve">To </w:t>
      </w:r>
      <w:r w:rsidRPr="00311159">
        <w:rPr>
          <w:rFonts w:eastAsia="Times New Roman"/>
          <w:szCs w:val="18"/>
          <w:lang w:val="en-GB"/>
        </w:rPr>
        <w:t xml:space="preserve">see who is eligible to bankruptcy, please see item </w:t>
      </w:r>
      <w:r w:rsidR="00AA4A55" w:rsidRPr="00AA4A55">
        <w:rPr>
          <w:rFonts w:eastAsia="Times New Roman"/>
          <w:szCs w:val="18"/>
          <w:lang w:val="en-GB"/>
        </w:rPr>
        <w:t xml:space="preserve">§ </w:t>
      </w:r>
      <w:r w:rsidR="00AA4A55">
        <w:rPr>
          <w:rFonts w:eastAsia="Times New Roman"/>
          <w:szCs w:val="18"/>
          <w:lang w:val="en-GB"/>
        </w:rPr>
        <w:t>4</w:t>
      </w:r>
      <w:r w:rsidRPr="00311159">
        <w:rPr>
          <w:rFonts w:eastAsia="Times New Roman"/>
          <w:szCs w:val="18"/>
          <w:lang w:val="en-GB"/>
        </w:rPr>
        <w:t xml:space="preserve"> above.</w:t>
      </w:r>
    </w:p>
  </w:footnote>
  <w:footnote w:id="15">
    <w:p w14:paraId="2326092B" w14:textId="4C70AB3B" w:rsidR="00843086" w:rsidRPr="00311159" w:rsidRDefault="00843086" w:rsidP="00311159">
      <w:pPr>
        <w:widowControl w:val="0"/>
        <w:textAlignment w:val="baseline"/>
        <w:rPr>
          <w:sz w:val="18"/>
          <w:lang w:val="en-GB"/>
        </w:rPr>
      </w:pPr>
      <w:r w:rsidRPr="00311159">
        <w:rPr>
          <w:rStyle w:val="Marquenotebasdepage"/>
          <w:sz w:val="18"/>
          <w:szCs w:val="18"/>
        </w:rPr>
        <w:footnoteRef/>
      </w:r>
      <w:r w:rsidR="003A685D">
        <w:rPr>
          <w:sz w:val="18"/>
          <w:szCs w:val="18"/>
        </w:rPr>
        <w:t xml:space="preserve"> </w:t>
      </w:r>
      <w:r w:rsidRPr="00311159">
        <w:rPr>
          <w:rFonts w:eastAsia="Times New Roman"/>
          <w:sz w:val="18"/>
          <w:szCs w:val="18"/>
          <w:lang w:val="en-GB"/>
        </w:rPr>
        <w:t>L</w:t>
      </w:r>
      <w:r w:rsidR="003A685D">
        <w:rPr>
          <w:rFonts w:eastAsia="Times New Roman"/>
          <w:sz w:val="18"/>
          <w:szCs w:val="18"/>
          <w:lang w:val="en-GB"/>
        </w:rPr>
        <w:t>.</w:t>
      </w:r>
      <w:r w:rsidRPr="00311159">
        <w:rPr>
          <w:rFonts w:eastAsia="Times New Roman"/>
          <w:sz w:val="18"/>
          <w:szCs w:val="18"/>
          <w:lang w:val="en-GB"/>
        </w:rPr>
        <w:t xml:space="preserve"> </w:t>
      </w:r>
      <w:proofErr w:type="spellStart"/>
      <w:proofErr w:type="gramStart"/>
      <w:r w:rsidRPr="00311159">
        <w:rPr>
          <w:rFonts w:eastAsia="Times New Roman"/>
          <w:smallCaps/>
          <w:sz w:val="18"/>
          <w:szCs w:val="18"/>
          <w:lang w:val="en-GB"/>
        </w:rPr>
        <w:t>Paiva</w:t>
      </w:r>
      <w:proofErr w:type="spellEnd"/>
      <w:r w:rsidRPr="00311159">
        <w:rPr>
          <w:rFonts w:eastAsia="Times New Roman"/>
          <w:sz w:val="18"/>
          <w:szCs w:val="18"/>
          <w:lang w:val="en-GB"/>
        </w:rPr>
        <w:t xml:space="preserve"> </w:t>
      </w:r>
      <w:r w:rsidR="00774721">
        <w:rPr>
          <w:rFonts w:eastAsia="Times New Roman"/>
          <w:sz w:val="18"/>
          <w:szCs w:val="18"/>
          <w:lang w:val="en-GB"/>
        </w:rPr>
        <w:t>,</w:t>
      </w:r>
      <w:proofErr w:type="gramEnd"/>
      <w:r w:rsidR="003A685D" w:rsidRPr="00311159">
        <w:rPr>
          <w:rFonts w:eastAsia="Times New Roman"/>
          <w:sz w:val="18"/>
          <w:szCs w:val="18"/>
          <w:lang w:val="en-GB"/>
        </w:rPr>
        <w:t xml:space="preserve"> </w:t>
      </w:r>
      <w:r w:rsidR="003A685D">
        <w:rPr>
          <w:rFonts w:eastAsia="Times New Roman"/>
          <w:sz w:val="18"/>
          <w:szCs w:val="18"/>
          <w:lang w:val="en-GB"/>
        </w:rPr>
        <w:t xml:space="preserve">C. </w:t>
      </w:r>
      <w:proofErr w:type="spellStart"/>
      <w:r w:rsidRPr="00311159">
        <w:rPr>
          <w:rFonts w:eastAsia="Times New Roman"/>
          <w:smallCaps/>
          <w:sz w:val="18"/>
          <w:szCs w:val="18"/>
          <w:lang w:val="en-GB"/>
        </w:rPr>
        <w:t>Jarvinen</w:t>
      </w:r>
      <w:proofErr w:type="spellEnd"/>
      <w:r w:rsidRPr="00311159">
        <w:rPr>
          <w:rFonts w:eastAsia="Times New Roman"/>
          <w:sz w:val="18"/>
          <w:szCs w:val="18"/>
          <w:lang w:val="en-GB"/>
        </w:rPr>
        <w:t xml:space="preserve">, “Current Developments Under The New Bankruptcy and Restructuring Law in Brazil,” </w:t>
      </w:r>
      <w:r w:rsidRPr="00311159">
        <w:rPr>
          <w:rFonts w:eastAsia="Times New Roman"/>
          <w:i/>
          <w:sz w:val="18"/>
          <w:szCs w:val="18"/>
          <w:lang w:val="en-GB"/>
        </w:rPr>
        <w:t>at 30th Annual Current Developments in Bankruptcy &amp; Reorganization</w:t>
      </w:r>
      <w:r w:rsidRPr="00311159">
        <w:rPr>
          <w:rFonts w:eastAsia="Times New Roman"/>
          <w:sz w:val="18"/>
          <w:szCs w:val="18"/>
          <w:lang w:val="en-GB"/>
        </w:rPr>
        <w:t>, volume two, Practising Law Institute.</w:t>
      </w:r>
    </w:p>
  </w:footnote>
  <w:footnote w:id="16">
    <w:p w14:paraId="053A88F9" w14:textId="781E8722" w:rsidR="00843086" w:rsidRPr="00311159" w:rsidRDefault="00843086" w:rsidP="00311159">
      <w:pPr>
        <w:widowControl w:val="0"/>
        <w:textAlignment w:val="baseline"/>
        <w:rPr>
          <w:rFonts w:eastAsia="Bookman Old Style"/>
          <w:sz w:val="18"/>
          <w:szCs w:val="18"/>
          <w:lang w:val="en-GB"/>
        </w:rPr>
      </w:pPr>
      <w:r w:rsidRPr="00311159">
        <w:rPr>
          <w:rStyle w:val="Marquenotebasdepage"/>
          <w:sz w:val="18"/>
          <w:szCs w:val="18"/>
        </w:rPr>
        <w:footnoteRef/>
      </w:r>
      <w:r w:rsidRPr="00311159">
        <w:rPr>
          <w:sz w:val="18"/>
          <w:szCs w:val="18"/>
        </w:rPr>
        <w:t xml:space="preserve"> </w:t>
      </w:r>
      <w:r w:rsidRPr="00311159">
        <w:rPr>
          <w:rFonts w:eastAsia="Times New Roman"/>
          <w:sz w:val="18"/>
          <w:szCs w:val="18"/>
          <w:lang w:val="en-GB"/>
        </w:rPr>
        <w:t>Original excerpt by L</w:t>
      </w:r>
      <w:r w:rsidR="003A685D">
        <w:rPr>
          <w:rFonts w:eastAsia="Times New Roman"/>
          <w:sz w:val="18"/>
          <w:szCs w:val="18"/>
          <w:lang w:val="en-GB"/>
        </w:rPr>
        <w:t xml:space="preserve">. </w:t>
      </w:r>
      <w:proofErr w:type="spellStart"/>
      <w:r w:rsidRPr="00311159">
        <w:rPr>
          <w:rFonts w:eastAsia="Times New Roman"/>
          <w:smallCaps/>
          <w:sz w:val="18"/>
          <w:szCs w:val="18"/>
          <w:lang w:val="en-GB"/>
        </w:rPr>
        <w:t>Paiva</w:t>
      </w:r>
      <w:proofErr w:type="spellEnd"/>
      <w:r w:rsidRPr="00311159">
        <w:rPr>
          <w:rFonts w:eastAsia="Times New Roman"/>
          <w:sz w:val="18"/>
          <w:szCs w:val="18"/>
          <w:lang w:val="en-GB"/>
        </w:rPr>
        <w:t xml:space="preserve"> </w:t>
      </w:r>
      <w:r w:rsidR="003A685D">
        <w:rPr>
          <w:rFonts w:eastAsia="Times New Roman"/>
          <w:sz w:val="18"/>
          <w:szCs w:val="18"/>
          <w:lang w:val="en-GB"/>
        </w:rPr>
        <w:t>and</w:t>
      </w:r>
      <w:r w:rsidRPr="00311159">
        <w:rPr>
          <w:rFonts w:eastAsia="Times New Roman"/>
          <w:sz w:val="18"/>
          <w:szCs w:val="18"/>
          <w:lang w:val="en-GB"/>
        </w:rPr>
        <w:t xml:space="preserve"> </w:t>
      </w:r>
      <w:r w:rsidR="003A685D">
        <w:rPr>
          <w:rFonts w:eastAsia="Times New Roman"/>
          <w:sz w:val="18"/>
          <w:szCs w:val="18"/>
          <w:lang w:val="en-GB"/>
        </w:rPr>
        <w:t>P</w:t>
      </w:r>
      <w:r w:rsidRPr="00311159">
        <w:rPr>
          <w:rFonts w:eastAsia="Times New Roman"/>
          <w:sz w:val="18"/>
          <w:szCs w:val="18"/>
          <w:lang w:val="en-GB"/>
        </w:rPr>
        <w:t xml:space="preserve">. </w:t>
      </w:r>
      <w:r w:rsidRPr="00311159">
        <w:rPr>
          <w:rFonts w:eastAsia="Times New Roman"/>
          <w:smallCaps/>
          <w:sz w:val="18"/>
          <w:szCs w:val="18"/>
          <w:lang w:val="en-GB"/>
        </w:rPr>
        <w:t>Costa</w:t>
      </w:r>
      <w:r w:rsidRPr="00311159">
        <w:rPr>
          <w:rFonts w:eastAsia="Times New Roman"/>
          <w:sz w:val="18"/>
          <w:szCs w:val="18"/>
          <w:lang w:val="en-GB"/>
        </w:rPr>
        <w:t xml:space="preserve">, extracted from the Brazil chapter of the </w:t>
      </w:r>
      <w:r w:rsidRPr="00917A29">
        <w:rPr>
          <w:rFonts w:eastAsia="Times New Roman"/>
          <w:i/>
          <w:sz w:val="18"/>
          <w:szCs w:val="18"/>
          <w:lang w:val="en-GB"/>
        </w:rPr>
        <w:t xml:space="preserve">Restructuring and Insolvency Handbook, </w:t>
      </w:r>
      <w:r w:rsidRPr="00917A29">
        <w:rPr>
          <w:rFonts w:eastAsia="Bookman Old Style"/>
          <w:i/>
          <w:sz w:val="18"/>
          <w:szCs w:val="18"/>
          <w:lang w:val="en-GB"/>
        </w:rPr>
        <w:t>2005/2006</w:t>
      </w:r>
      <w:r w:rsidRPr="00311159">
        <w:rPr>
          <w:rFonts w:eastAsia="Bookman Old Style"/>
          <w:sz w:val="18"/>
          <w:szCs w:val="18"/>
          <w:lang w:val="en-GB"/>
        </w:rPr>
        <w:t xml:space="preserve">, </w:t>
      </w:r>
      <w:r w:rsidRPr="00311159">
        <w:rPr>
          <w:rFonts w:eastAsia="Times New Roman"/>
          <w:sz w:val="18"/>
          <w:szCs w:val="18"/>
          <w:lang w:val="en-GB"/>
        </w:rPr>
        <w:t>Fourth Edition</w:t>
      </w:r>
      <w:r w:rsidRPr="00917A29">
        <w:rPr>
          <w:rFonts w:eastAsia="Times New Roman"/>
          <w:sz w:val="18"/>
          <w:szCs w:val="18"/>
          <w:lang w:val="en-GB"/>
        </w:rPr>
        <w:t>, Practical Law Company,</w:t>
      </w:r>
      <w:r w:rsidRPr="00311159">
        <w:rPr>
          <w:rFonts w:eastAsia="Times New Roman"/>
          <w:sz w:val="18"/>
          <w:szCs w:val="18"/>
          <w:lang w:val="en-GB"/>
        </w:rPr>
        <w:t xml:space="preserve"> as adapted and supplemented for this work.</w:t>
      </w:r>
    </w:p>
    <w:p w14:paraId="31A55D79" w14:textId="77777777" w:rsidR="00843086" w:rsidRPr="00311159" w:rsidRDefault="00843086">
      <w:pPr>
        <w:pStyle w:val="Notedebasdepage"/>
        <w:rPr>
          <w:szCs w:val="18"/>
          <w:lang w:val="en-GB"/>
        </w:rPr>
      </w:pPr>
    </w:p>
  </w:footnote>
  <w:footnote w:id="17">
    <w:p w14:paraId="2FFFBA75" w14:textId="65861980"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Times New Roman"/>
          <w:szCs w:val="18"/>
          <w:lang w:val="en-GB"/>
        </w:rPr>
        <w:t>At one stage, while the bill was in Congress, the draft contained the right for creditors to call for reorganisation of the debtor as in the US Bankruptcy Code.</w:t>
      </w:r>
    </w:p>
  </w:footnote>
  <w:footnote w:id="18">
    <w:p w14:paraId="00A0E9A2" w14:textId="648D2761"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Bookman Old Style"/>
          <w:szCs w:val="18"/>
          <w:lang w:val="en-GB"/>
        </w:rPr>
        <w:t xml:space="preserve">Please see item </w:t>
      </w:r>
      <w:r w:rsidR="00AA4A55" w:rsidRPr="00AA4A55">
        <w:rPr>
          <w:rFonts w:eastAsia="Bookman Old Style"/>
          <w:szCs w:val="18"/>
          <w:lang w:val="en-GB"/>
        </w:rPr>
        <w:t xml:space="preserve">§ </w:t>
      </w:r>
      <w:r w:rsidR="00AA4A55">
        <w:rPr>
          <w:rFonts w:eastAsia="Bookman Old Style"/>
          <w:szCs w:val="18"/>
          <w:lang w:val="en-GB"/>
        </w:rPr>
        <w:t>2</w:t>
      </w:r>
      <w:r w:rsidRPr="00311159">
        <w:rPr>
          <w:rFonts w:eastAsia="Bookman Old Style"/>
          <w:szCs w:val="18"/>
          <w:lang w:val="en-GB"/>
        </w:rPr>
        <w:t xml:space="preserve"> above.</w:t>
      </w:r>
    </w:p>
  </w:footnote>
  <w:footnote w:id="19">
    <w:p w14:paraId="14EC379B" w14:textId="470E3E88"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Times New Roman"/>
          <w:szCs w:val="18"/>
          <w:lang w:val="en-GB"/>
        </w:rPr>
        <w:t>In the vast majority of reorganisation petitions filed since the BBL came into force, the two-year period was not observed, and the companies changed the originally approved wording of plans, remaining under reorganisation for an indefinite period.</w:t>
      </w:r>
    </w:p>
  </w:footnote>
  <w:footnote w:id="20">
    <w:p w14:paraId="2AEAB0FD" w14:textId="74E7FF2B" w:rsidR="00843086" w:rsidRPr="00311159" w:rsidRDefault="00843086" w:rsidP="00311159">
      <w:pPr>
        <w:widowControl w:val="0"/>
        <w:textAlignment w:val="baseline"/>
        <w:rPr>
          <w:lang w:val="en-GB"/>
        </w:rPr>
      </w:pPr>
      <w:r w:rsidRPr="00311159">
        <w:rPr>
          <w:rStyle w:val="Marquenotebasdepage"/>
          <w:sz w:val="18"/>
          <w:szCs w:val="18"/>
        </w:rPr>
        <w:footnoteRef/>
      </w:r>
      <w:r w:rsidRPr="00311159">
        <w:rPr>
          <w:sz w:val="18"/>
          <w:szCs w:val="18"/>
        </w:rPr>
        <w:t xml:space="preserve"> </w:t>
      </w:r>
      <w:r w:rsidRPr="00311159">
        <w:rPr>
          <w:rFonts w:eastAsia="Times New Roman"/>
          <w:sz w:val="18"/>
          <w:szCs w:val="18"/>
          <w:lang w:val="en-GB"/>
        </w:rPr>
        <w:t xml:space="preserve">Discuss generally the laws, practices and procedures pertaining to non-judicial rehabilitation, workouts and restructurings. Compare with judicial (formal) reorganisations. This should be a general discussion of the environment for such procedures. (Use of INSOL rules or London approach </w:t>
      </w:r>
      <w:proofErr w:type="spellStart"/>
      <w:r w:rsidRPr="00311159">
        <w:rPr>
          <w:rFonts w:eastAsia="Times New Roman"/>
          <w:sz w:val="18"/>
          <w:szCs w:val="18"/>
          <w:lang w:val="en-GB"/>
        </w:rPr>
        <w:t>etc</w:t>
      </w:r>
      <w:proofErr w:type="spellEnd"/>
      <w:r w:rsidRPr="00311159">
        <w:rPr>
          <w:rFonts w:eastAsia="Times New Roman"/>
          <w:sz w:val="18"/>
          <w:szCs w:val="18"/>
          <w:lang w:val="en-GB"/>
        </w:rPr>
        <w:t>, approach of Banks.)</w:t>
      </w:r>
    </w:p>
  </w:footnote>
  <w:footnote w:id="21">
    <w:p w14:paraId="4BCEFDC6" w14:textId="6D577BC6" w:rsidR="00843086" w:rsidRPr="00311159" w:rsidRDefault="00843086" w:rsidP="00311159">
      <w:pPr>
        <w:widowControl w:val="0"/>
        <w:textAlignment w:val="baseline"/>
        <w:rPr>
          <w:lang w:val="en-GB"/>
        </w:rPr>
      </w:pPr>
      <w:r w:rsidRPr="00311159">
        <w:rPr>
          <w:rStyle w:val="Marquenotebasdepage"/>
          <w:sz w:val="18"/>
          <w:szCs w:val="18"/>
        </w:rPr>
        <w:footnoteRef/>
      </w:r>
      <w:r w:rsidRPr="00311159">
        <w:rPr>
          <w:sz w:val="18"/>
          <w:szCs w:val="18"/>
        </w:rPr>
        <w:t xml:space="preserve"> </w:t>
      </w:r>
      <w:r w:rsidRPr="00311159">
        <w:rPr>
          <w:rFonts w:eastAsia="Times New Roman"/>
          <w:sz w:val="18"/>
          <w:szCs w:val="18"/>
          <w:lang w:val="en-GB"/>
        </w:rPr>
        <w:t xml:space="preserve">This topic partially reproduces the author’s views already expressed in other articles, specially in the chapter </w:t>
      </w:r>
      <w:r w:rsidR="003A685D">
        <w:rPr>
          <w:rFonts w:eastAsia="Times New Roman"/>
          <w:sz w:val="18"/>
          <w:szCs w:val="18"/>
          <w:lang w:val="en-GB"/>
        </w:rPr>
        <w:t>“</w:t>
      </w:r>
      <w:r w:rsidRPr="00311159">
        <w:rPr>
          <w:rFonts w:eastAsia="Times New Roman"/>
          <w:sz w:val="18"/>
          <w:szCs w:val="18"/>
          <w:lang w:val="en-GB"/>
        </w:rPr>
        <w:t>Out-of-court Reorganisation</w:t>
      </w:r>
      <w:r w:rsidR="003A685D">
        <w:rPr>
          <w:rFonts w:eastAsia="Times New Roman"/>
          <w:sz w:val="18"/>
          <w:szCs w:val="18"/>
          <w:lang w:val="en-GB"/>
        </w:rPr>
        <w:t>”</w:t>
      </w:r>
      <w:r w:rsidRPr="00311159">
        <w:rPr>
          <w:rFonts w:eastAsia="Times New Roman"/>
          <w:sz w:val="18"/>
          <w:szCs w:val="18"/>
          <w:lang w:val="en-GB"/>
        </w:rPr>
        <w:t xml:space="preserve"> included in the book edited by him, titled </w:t>
      </w:r>
      <w:r w:rsidR="003A685D">
        <w:rPr>
          <w:rFonts w:eastAsia="Times New Roman"/>
          <w:sz w:val="18"/>
          <w:szCs w:val="18"/>
          <w:lang w:val="en-GB"/>
        </w:rPr>
        <w:t>“</w:t>
      </w:r>
      <w:proofErr w:type="spellStart"/>
      <w:r w:rsidRPr="00311159">
        <w:rPr>
          <w:rFonts w:eastAsia="Times New Roman"/>
          <w:sz w:val="18"/>
          <w:szCs w:val="18"/>
          <w:lang w:val="en-GB"/>
        </w:rPr>
        <w:t>Direito</w:t>
      </w:r>
      <w:proofErr w:type="spellEnd"/>
      <w:r w:rsidRPr="00311159">
        <w:rPr>
          <w:rFonts w:eastAsia="Times New Roman"/>
          <w:sz w:val="18"/>
          <w:szCs w:val="18"/>
          <w:lang w:val="en-GB"/>
        </w:rPr>
        <w:t xml:space="preserve"> </w:t>
      </w:r>
      <w:proofErr w:type="spellStart"/>
      <w:r w:rsidRPr="00311159">
        <w:rPr>
          <w:rFonts w:eastAsia="Times New Roman"/>
          <w:sz w:val="18"/>
          <w:szCs w:val="18"/>
          <w:lang w:val="en-GB"/>
        </w:rPr>
        <w:t>Falimentar</w:t>
      </w:r>
      <w:proofErr w:type="spellEnd"/>
      <w:r w:rsidRPr="00311159">
        <w:rPr>
          <w:rFonts w:eastAsia="Times New Roman"/>
          <w:sz w:val="18"/>
          <w:szCs w:val="18"/>
          <w:lang w:val="en-GB"/>
        </w:rPr>
        <w:t xml:space="preserve"> e a Nova Lei de </w:t>
      </w:r>
      <w:proofErr w:type="spellStart"/>
      <w:r w:rsidRPr="00311159">
        <w:rPr>
          <w:rFonts w:eastAsia="Times New Roman"/>
          <w:sz w:val="18"/>
          <w:szCs w:val="18"/>
          <w:lang w:val="en-GB"/>
        </w:rPr>
        <w:t>Falências</w:t>
      </w:r>
      <w:proofErr w:type="spellEnd"/>
      <w:r w:rsidRPr="00311159">
        <w:rPr>
          <w:rFonts w:eastAsia="Times New Roman"/>
          <w:sz w:val="18"/>
          <w:szCs w:val="18"/>
          <w:lang w:val="en-GB"/>
        </w:rPr>
        <w:t xml:space="preserve"> e </w:t>
      </w:r>
      <w:proofErr w:type="spellStart"/>
      <w:r w:rsidRPr="00311159">
        <w:rPr>
          <w:rFonts w:eastAsia="Times New Roman"/>
          <w:sz w:val="18"/>
          <w:szCs w:val="18"/>
          <w:lang w:val="en-GB"/>
        </w:rPr>
        <w:t>Recuperação</w:t>
      </w:r>
      <w:proofErr w:type="spellEnd"/>
      <w:r w:rsidRPr="00311159">
        <w:rPr>
          <w:rFonts w:eastAsia="Times New Roman"/>
          <w:sz w:val="18"/>
          <w:szCs w:val="18"/>
          <w:lang w:val="en-GB"/>
        </w:rPr>
        <w:t xml:space="preserve"> de </w:t>
      </w:r>
      <w:proofErr w:type="spellStart"/>
      <w:r w:rsidRPr="00311159">
        <w:rPr>
          <w:rFonts w:eastAsia="Times New Roman"/>
          <w:sz w:val="18"/>
          <w:szCs w:val="18"/>
          <w:lang w:val="en-GB"/>
        </w:rPr>
        <w:t>Empresas</w:t>
      </w:r>
      <w:proofErr w:type="spellEnd"/>
      <w:r w:rsidR="003A685D">
        <w:rPr>
          <w:rFonts w:eastAsia="Times New Roman"/>
          <w:sz w:val="18"/>
          <w:szCs w:val="18"/>
          <w:lang w:val="en-GB"/>
        </w:rPr>
        <w:t xml:space="preserve">”, </w:t>
      </w:r>
      <w:r w:rsidR="003A685D">
        <w:rPr>
          <w:rFonts w:eastAsia="Times New Roman"/>
          <w:i/>
          <w:sz w:val="18"/>
          <w:szCs w:val="18"/>
          <w:lang w:val="en-GB"/>
        </w:rPr>
        <w:t xml:space="preserve">Quartier Latin, </w:t>
      </w:r>
      <w:r w:rsidR="003A685D">
        <w:rPr>
          <w:rFonts w:eastAsia="Times New Roman"/>
          <w:sz w:val="18"/>
          <w:szCs w:val="18"/>
          <w:lang w:val="en-GB"/>
        </w:rPr>
        <w:t>2005</w:t>
      </w:r>
      <w:r w:rsidRPr="00311159">
        <w:rPr>
          <w:rFonts w:eastAsia="Bookman Old Style"/>
          <w:sz w:val="18"/>
          <w:szCs w:val="18"/>
          <w:lang w:val="en-GB"/>
        </w:rPr>
        <w:t xml:space="preserve">, </w:t>
      </w:r>
      <w:r w:rsidRPr="00311159">
        <w:rPr>
          <w:rFonts w:eastAsia="Times New Roman"/>
          <w:sz w:val="18"/>
          <w:szCs w:val="18"/>
          <w:lang w:val="en-GB"/>
        </w:rPr>
        <w:t xml:space="preserve">page </w:t>
      </w:r>
      <w:r w:rsidRPr="00311159">
        <w:rPr>
          <w:rFonts w:eastAsia="Bookman Old Style"/>
          <w:sz w:val="18"/>
          <w:szCs w:val="18"/>
          <w:lang w:val="en-GB"/>
        </w:rPr>
        <w:t xml:space="preserve">561 </w:t>
      </w:r>
      <w:r w:rsidRPr="00311159">
        <w:rPr>
          <w:rFonts w:eastAsia="Times New Roman"/>
          <w:sz w:val="18"/>
          <w:szCs w:val="18"/>
          <w:lang w:val="en-GB"/>
        </w:rPr>
        <w:t>et seq.</w:t>
      </w:r>
    </w:p>
  </w:footnote>
  <w:footnote w:id="22">
    <w:p w14:paraId="65404F5D" w14:textId="6C62A701" w:rsidR="00843086" w:rsidRPr="00311159" w:rsidRDefault="00843086" w:rsidP="00311159">
      <w:pPr>
        <w:widowControl w:val="0"/>
        <w:textAlignment w:val="baseline"/>
      </w:pPr>
      <w:r w:rsidRPr="00311159">
        <w:rPr>
          <w:rStyle w:val="Marquenotebasdepage"/>
          <w:sz w:val="18"/>
          <w:szCs w:val="18"/>
        </w:rPr>
        <w:footnoteRef/>
      </w:r>
      <w:r w:rsidRPr="00311159">
        <w:rPr>
          <w:sz w:val="18"/>
          <w:szCs w:val="18"/>
          <w:lang w:val="pt-BR"/>
        </w:rPr>
        <w:t xml:space="preserve"> </w:t>
      </w:r>
      <w:r w:rsidR="003A685D">
        <w:rPr>
          <w:sz w:val="18"/>
          <w:szCs w:val="18"/>
          <w:lang w:val="pt-BR"/>
        </w:rPr>
        <w:t xml:space="preserve">A. </w:t>
      </w:r>
      <w:r w:rsidR="003A685D" w:rsidRPr="003A685D">
        <w:rPr>
          <w:rFonts w:eastAsia="Times New Roman"/>
          <w:smallCaps/>
          <w:sz w:val="18"/>
          <w:szCs w:val="18"/>
          <w:lang w:val="pt-BR"/>
        </w:rPr>
        <w:t>Araújo</w:t>
      </w:r>
      <w:r w:rsidRPr="00311159">
        <w:rPr>
          <w:rFonts w:eastAsia="Times New Roman"/>
          <w:sz w:val="18"/>
          <w:szCs w:val="18"/>
          <w:lang w:val="pt-BR"/>
        </w:rPr>
        <w:t xml:space="preserve"> ; </w:t>
      </w:r>
      <w:r w:rsidR="003A685D">
        <w:rPr>
          <w:rFonts w:eastAsia="Times New Roman"/>
          <w:sz w:val="18"/>
          <w:szCs w:val="18"/>
          <w:lang w:val="pt-BR"/>
        </w:rPr>
        <w:t xml:space="preserve">L. </w:t>
      </w:r>
      <w:r w:rsidR="003A685D" w:rsidRPr="003A685D">
        <w:rPr>
          <w:rFonts w:eastAsia="Times New Roman"/>
          <w:smallCaps/>
          <w:sz w:val="18"/>
          <w:szCs w:val="18"/>
          <w:lang w:val="pt-BR"/>
        </w:rPr>
        <w:t>Paiva</w:t>
      </w:r>
      <w:r w:rsidRPr="00311159">
        <w:rPr>
          <w:rFonts w:eastAsia="Times New Roman"/>
          <w:sz w:val="18"/>
          <w:szCs w:val="18"/>
          <w:lang w:val="pt-BR"/>
        </w:rPr>
        <w:t xml:space="preserve">, </w:t>
      </w:r>
      <w:r w:rsidR="003A685D">
        <w:rPr>
          <w:rFonts w:eastAsia="Times New Roman"/>
          <w:sz w:val="18"/>
          <w:szCs w:val="18"/>
          <w:lang w:val="pt-BR"/>
        </w:rPr>
        <w:t>“</w:t>
      </w:r>
      <w:r w:rsidRPr="00311159">
        <w:rPr>
          <w:rFonts w:eastAsia="Times New Roman"/>
          <w:sz w:val="18"/>
          <w:szCs w:val="18"/>
          <w:lang w:val="pt-BR"/>
        </w:rPr>
        <w:t>A Transparência na Lei de Falências</w:t>
      </w:r>
      <w:r w:rsidR="003A685D">
        <w:rPr>
          <w:rFonts w:eastAsia="Times New Roman"/>
          <w:sz w:val="18"/>
          <w:szCs w:val="18"/>
          <w:lang w:val="pt-BR"/>
        </w:rPr>
        <w:t>”,</w:t>
      </w:r>
      <w:r w:rsidRPr="00311159">
        <w:rPr>
          <w:rFonts w:eastAsia="Times New Roman"/>
          <w:sz w:val="18"/>
          <w:szCs w:val="18"/>
          <w:lang w:val="pt-BR"/>
        </w:rPr>
        <w:t xml:space="preserve"> </w:t>
      </w:r>
      <w:r w:rsidRPr="00311159">
        <w:rPr>
          <w:rFonts w:eastAsia="Times New Roman"/>
          <w:i/>
          <w:sz w:val="18"/>
          <w:szCs w:val="18"/>
          <w:lang w:val="pt-BR"/>
        </w:rPr>
        <w:t>Jornal O Globo</w:t>
      </w:r>
      <w:r w:rsidRPr="00311159">
        <w:rPr>
          <w:rFonts w:eastAsia="Times New Roman"/>
          <w:sz w:val="18"/>
          <w:szCs w:val="18"/>
          <w:lang w:val="pt-BR"/>
        </w:rPr>
        <w:t xml:space="preserve">. </w:t>
      </w:r>
      <w:r w:rsidRPr="00311159">
        <w:rPr>
          <w:rFonts w:eastAsia="Times New Roman"/>
          <w:sz w:val="18"/>
          <w:szCs w:val="18"/>
          <w:lang w:val="en-GB"/>
        </w:rPr>
        <w:t xml:space="preserve">Rio de Janeiro, </w:t>
      </w:r>
      <w:r w:rsidRPr="00311159">
        <w:rPr>
          <w:rFonts w:eastAsia="Bookman Old Style"/>
          <w:sz w:val="18"/>
          <w:szCs w:val="18"/>
          <w:lang w:val="en-GB"/>
        </w:rPr>
        <w:t xml:space="preserve">23 </w:t>
      </w:r>
      <w:r w:rsidRPr="00311159">
        <w:rPr>
          <w:rFonts w:eastAsia="Times New Roman"/>
          <w:sz w:val="18"/>
          <w:szCs w:val="18"/>
          <w:lang w:val="en-GB"/>
        </w:rPr>
        <w:t xml:space="preserve">jun. </w:t>
      </w:r>
      <w:r w:rsidRPr="00311159">
        <w:rPr>
          <w:rFonts w:eastAsia="Bookman Old Style"/>
          <w:sz w:val="18"/>
          <w:szCs w:val="18"/>
          <w:lang w:val="en-GB"/>
        </w:rPr>
        <w:t>2004.</w:t>
      </w:r>
    </w:p>
  </w:footnote>
  <w:footnote w:id="23">
    <w:p w14:paraId="5986AC49" w14:textId="67CF5621" w:rsidR="00843086" w:rsidRPr="00311159" w:rsidRDefault="00843086" w:rsidP="00311159">
      <w:pPr>
        <w:widowControl w:val="0"/>
        <w:textAlignment w:val="baseline"/>
        <w:rPr>
          <w:lang w:val="en-GB"/>
        </w:rPr>
      </w:pPr>
      <w:r w:rsidRPr="00311159">
        <w:rPr>
          <w:rStyle w:val="Marquenotebasdepage"/>
          <w:sz w:val="18"/>
          <w:szCs w:val="18"/>
        </w:rPr>
        <w:footnoteRef/>
      </w:r>
      <w:r w:rsidRPr="00311159">
        <w:rPr>
          <w:sz w:val="18"/>
          <w:szCs w:val="18"/>
        </w:rPr>
        <w:t xml:space="preserve"> </w:t>
      </w:r>
      <w:r w:rsidRPr="00311159">
        <w:rPr>
          <w:rFonts w:eastAsia="Times New Roman"/>
          <w:color w:val="000000"/>
          <w:sz w:val="18"/>
          <w:szCs w:val="18"/>
          <w:lang w:val="en-GB"/>
        </w:rPr>
        <w:t>“</w:t>
      </w:r>
      <w:r w:rsidRPr="00311159">
        <w:rPr>
          <w:rFonts w:eastAsia="Times New Roman"/>
          <w:sz w:val="18"/>
          <w:szCs w:val="18"/>
          <w:lang w:val="en-GB"/>
        </w:rPr>
        <w:t xml:space="preserve">Article </w:t>
      </w:r>
      <w:r w:rsidRPr="00311159">
        <w:rPr>
          <w:rFonts w:eastAsia="Bookman Old Style"/>
          <w:sz w:val="18"/>
          <w:szCs w:val="18"/>
          <w:lang w:val="en-GB"/>
        </w:rPr>
        <w:t xml:space="preserve">167. </w:t>
      </w:r>
      <w:r w:rsidRPr="00311159">
        <w:rPr>
          <w:rFonts w:eastAsia="Times New Roman"/>
          <w:sz w:val="18"/>
          <w:szCs w:val="18"/>
          <w:lang w:val="en-GB"/>
        </w:rPr>
        <w:t>The provisions of this Chapter do not rule out other types of private settlement between the debtor and his creditors.”</w:t>
      </w:r>
    </w:p>
  </w:footnote>
  <w:footnote w:id="24">
    <w:p w14:paraId="1E8C56D8" w14:textId="182830DE" w:rsidR="00843086" w:rsidRPr="00311159" w:rsidRDefault="00843086" w:rsidP="00311159">
      <w:pPr>
        <w:pStyle w:val="Notedebasdepage"/>
        <w:widowControl w:val="0"/>
        <w:rPr>
          <w:szCs w:val="18"/>
        </w:rPr>
      </w:pPr>
      <w:r w:rsidRPr="00311159">
        <w:rPr>
          <w:rStyle w:val="Marquenotebasdepage"/>
          <w:szCs w:val="18"/>
        </w:rPr>
        <w:footnoteRef/>
      </w:r>
      <w:r w:rsidRPr="00311159">
        <w:rPr>
          <w:szCs w:val="18"/>
        </w:rPr>
        <w:t xml:space="preserve"> </w:t>
      </w:r>
      <w:r w:rsidRPr="00311159">
        <w:rPr>
          <w:rFonts w:eastAsia="Garamond"/>
          <w:szCs w:val="18"/>
          <w:lang w:val="en-GB"/>
        </w:rPr>
        <w:t>Despite this prohibition, the attempt to prevent negotiation between debtors and creditors, as introduced in the Brazilian legal system by the Prior Bankruptcy Law, did not work out since debtors frequently negotiated through fronting parties the assignment of credits at a discount that were not always the same for all creditors. This means that there have always been negotiations between debtors and creditors, albeit outside the realm of the law.</w:t>
      </w:r>
    </w:p>
  </w:footnote>
  <w:footnote w:id="25">
    <w:p w14:paraId="7110B70D" w14:textId="42FF495D" w:rsidR="00843086" w:rsidRPr="00311159" w:rsidRDefault="00843086" w:rsidP="00311159">
      <w:pPr>
        <w:pStyle w:val="Notedebasdepage"/>
        <w:widowControl w:val="0"/>
        <w:rPr>
          <w:szCs w:val="18"/>
          <w:lang w:val="en-GB"/>
        </w:rPr>
      </w:pPr>
      <w:r w:rsidRPr="00311159">
        <w:rPr>
          <w:rStyle w:val="Marquenotebasdepage"/>
          <w:szCs w:val="18"/>
        </w:rPr>
        <w:footnoteRef/>
      </w:r>
      <w:r w:rsidRPr="00311159">
        <w:rPr>
          <w:szCs w:val="18"/>
        </w:rPr>
        <w:t xml:space="preserve"> </w:t>
      </w:r>
      <w:r w:rsidRPr="00311159">
        <w:rPr>
          <w:rFonts w:eastAsia="Garamond"/>
          <w:szCs w:val="18"/>
          <w:lang w:val="en-GB"/>
        </w:rPr>
        <w:t>This percentage is calculated on the total amount of the credits affected by the plan and not on the number of affected creditors.</w:t>
      </w:r>
    </w:p>
  </w:footnote>
  <w:footnote w:id="26">
    <w:p w14:paraId="294B6802" w14:textId="2A82DEFA" w:rsidR="00843086" w:rsidRPr="00311159" w:rsidRDefault="00843086" w:rsidP="00311159">
      <w:pPr>
        <w:pStyle w:val="Notedebasdepage"/>
        <w:widowControl w:val="0"/>
        <w:rPr>
          <w:szCs w:val="18"/>
        </w:rPr>
      </w:pPr>
      <w:r w:rsidRPr="00311159">
        <w:rPr>
          <w:rStyle w:val="Marquenotebasdepage"/>
          <w:szCs w:val="18"/>
        </w:rPr>
        <w:footnoteRef/>
      </w:r>
      <w:r w:rsidRPr="00311159">
        <w:rPr>
          <w:rFonts w:eastAsia="Bookman Old Style"/>
          <w:szCs w:val="18"/>
          <w:lang w:val="en-GB"/>
        </w:rPr>
        <w:t xml:space="preserve">To </w:t>
      </w:r>
      <w:r w:rsidRPr="00311159">
        <w:rPr>
          <w:rFonts w:eastAsia="Times New Roman"/>
          <w:szCs w:val="18"/>
          <w:lang w:val="en-GB"/>
        </w:rPr>
        <w:t>see who is eligible to file an out-of-court</w:t>
      </w:r>
      <w:r w:rsidR="00401FA8">
        <w:rPr>
          <w:rFonts w:eastAsia="Times New Roman"/>
          <w:szCs w:val="18"/>
          <w:lang w:val="en-GB"/>
        </w:rPr>
        <w:t> </w:t>
      </w:r>
      <w:r w:rsidRPr="00311159">
        <w:rPr>
          <w:rFonts w:eastAsia="Times New Roman"/>
          <w:szCs w:val="18"/>
          <w:lang w:val="en-GB"/>
        </w:rPr>
        <w:t>reorganisation,</w:t>
      </w:r>
      <w:r w:rsidR="00401FA8">
        <w:rPr>
          <w:rFonts w:eastAsia="Times New Roman"/>
          <w:szCs w:val="18"/>
          <w:lang w:val="en-GB"/>
        </w:rPr>
        <w:t> </w:t>
      </w:r>
      <w:r w:rsidRPr="00311159">
        <w:rPr>
          <w:rFonts w:eastAsia="Times New Roman"/>
          <w:szCs w:val="18"/>
          <w:lang w:val="en-GB"/>
        </w:rPr>
        <w:t>please</w:t>
      </w:r>
      <w:r w:rsidR="00401FA8">
        <w:rPr>
          <w:rFonts w:eastAsia="Times New Roman"/>
          <w:szCs w:val="18"/>
          <w:lang w:val="en-GB"/>
        </w:rPr>
        <w:t> </w:t>
      </w:r>
      <w:r w:rsidRPr="00311159">
        <w:rPr>
          <w:rFonts w:eastAsia="Times New Roman"/>
          <w:szCs w:val="18"/>
          <w:lang w:val="en-GB"/>
        </w:rPr>
        <w:t>see</w:t>
      </w:r>
      <w:r w:rsidR="00401FA8">
        <w:rPr>
          <w:rFonts w:eastAsia="Times New Roman"/>
          <w:szCs w:val="18"/>
          <w:lang w:val="en-GB"/>
        </w:rPr>
        <w:t> </w:t>
      </w:r>
      <w:r w:rsidRPr="00311159">
        <w:rPr>
          <w:rFonts w:eastAsia="Times New Roman"/>
          <w:szCs w:val="18"/>
          <w:lang w:val="en-GB"/>
        </w:rPr>
        <w:t xml:space="preserve">item </w:t>
      </w:r>
      <w:r w:rsidR="00AA4A55">
        <w:rPr>
          <w:rFonts w:eastAsia="Bookman Old Style"/>
          <w:i/>
          <w:szCs w:val="18"/>
          <w:lang w:val="en-GB"/>
        </w:rPr>
        <w:t>Eligibility</w:t>
      </w:r>
      <w:r w:rsidR="00401FA8">
        <w:rPr>
          <w:rFonts w:eastAsia="Bookman Old Style"/>
          <w:szCs w:val="18"/>
          <w:lang w:val="en-GB"/>
        </w:rPr>
        <w:t> </w:t>
      </w:r>
      <w:r w:rsidRPr="00311159">
        <w:rPr>
          <w:rFonts w:eastAsia="Times New Roman"/>
          <w:szCs w:val="18"/>
          <w:lang w:val="en-GB"/>
        </w:rPr>
        <w:t>above.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96F9" w14:textId="77777777" w:rsidR="007D0EBD" w:rsidRPr="00774721" w:rsidRDefault="00B05950" w:rsidP="00FD7A20">
    <w:pPr>
      <w:pStyle w:val="En-tte"/>
      <w:pBdr>
        <w:bottom w:val="single" w:sz="4" w:space="1" w:color="auto"/>
      </w:pBdr>
      <w:jc w:val="center"/>
      <w:rPr>
        <w:i w:val="0"/>
        <w:sz w:val="16"/>
        <w:szCs w:val="16"/>
      </w:rPr>
    </w:pPr>
    <w:r w:rsidRPr="00774721">
      <w:rPr>
        <w:i w:val="0"/>
        <w:sz w:val="16"/>
        <w:szCs w:val="16"/>
      </w:rPr>
      <w:t>Element of Bankruptcy Law and Business Rescue in Brazil</w:t>
    </w:r>
    <w:r w:rsidR="008B4013" w:rsidRPr="00774721">
      <w:rPr>
        <w:i w:val="0"/>
        <w:sz w:val="16"/>
        <w:szCs w:val="16"/>
      </w:rPr>
      <w:t xml:space="preserve"> </w:t>
    </w:r>
    <w:r w:rsidR="008B4013" w:rsidRPr="00774721">
      <w:rPr>
        <w:i w:val="0"/>
        <w:sz w:val="16"/>
        <w:szCs w:val="16"/>
      </w:rPr>
      <w:fldChar w:fldCharType="begin"/>
    </w:r>
    <w:r w:rsidR="008B4013" w:rsidRPr="00774721">
      <w:rPr>
        <w:i w:val="0"/>
        <w:sz w:val="16"/>
        <w:szCs w:val="16"/>
      </w:rPr>
      <w:instrText xml:space="preserve"> TITLE  \* MERGEFORMAT </w:instrText>
    </w:r>
    <w:r w:rsidR="008B4013" w:rsidRPr="00774721">
      <w:rPr>
        <w:i w:val="0"/>
        <w:sz w:val="16"/>
        <w:szCs w:val="16"/>
      </w:rPr>
      <w:fldChar w:fldCharType="end"/>
    </w:r>
    <w:r w:rsidR="008B4013" w:rsidRPr="00774721">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013" w:rsidRPr="00774721">
      <w:rPr>
        <w:i w:val="0"/>
        <w:sz w:val="16"/>
        <w:szCs w:val="16"/>
      </w:rPr>
      <w:fldChar w:fldCharType="begin"/>
    </w:r>
    <w:r w:rsidR="008B4013" w:rsidRPr="00774721">
      <w:rPr>
        <w:i w:val="0"/>
        <w:sz w:val="16"/>
        <w:szCs w:val="16"/>
      </w:rPr>
      <w:instrText xml:space="preserve"> TITLE  \* MERGEFORMAT </w:instrText>
    </w:r>
    <w:r w:rsidR="008B4013" w:rsidRPr="00774721">
      <w:rPr>
        <w:i w:val="0"/>
        <w:sz w:val="16"/>
        <w:szCs w:val="16"/>
      </w:rPr>
      <w:fldChar w:fldCharType="end"/>
    </w:r>
    <w:r w:rsidR="008B4013" w:rsidRPr="00774721">
      <w:rPr>
        <w:i w:val="0"/>
        <w:sz w:val="16"/>
        <w:szCs w:val="16"/>
      </w:rPr>
      <w:t xml:space="preserve">– </w:t>
    </w:r>
  </w:p>
  <w:p w14:paraId="6BE96AF7" w14:textId="5F34CD3C" w:rsidR="008B4013" w:rsidRPr="00774721" w:rsidRDefault="00605C51" w:rsidP="00FD7A20">
    <w:pPr>
      <w:pStyle w:val="En-tte"/>
      <w:pBdr>
        <w:bottom w:val="single" w:sz="4" w:space="1" w:color="auto"/>
      </w:pBdr>
      <w:jc w:val="center"/>
      <w:rPr>
        <w:i w:val="0"/>
        <w:sz w:val="16"/>
        <w:szCs w:val="16"/>
      </w:rPr>
    </w:pPr>
    <w:r w:rsidRPr="00774721">
      <w:rPr>
        <w:i w:val="0"/>
        <w:sz w:val="16"/>
        <w:szCs w:val="16"/>
      </w:rPr>
      <w:t xml:space="preserve">Luiz Fernando Valente de </w:t>
    </w:r>
    <w:proofErr w:type="spellStart"/>
    <w:r w:rsidRPr="00774721">
      <w:rPr>
        <w:i w:val="0"/>
        <w:sz w:val="16"/>
        <w:szCs w:val="16"/>
      </w:rPr>
      <w:t>Paiva</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8B4013" w:rsidRDefault="008B4013">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C5"/>
    <w:multiLevelType w:val="multilevel"/>
    <w:tmpl w:val="4D24EAE0"/>
    <w:lvl w:ilvl="0">
      <w:start w:val="1"/>
      <w:numFmt w:val="bullet"/>
      <w:lvlText w:val="·"/>
      <w:lvlJc w:val="left"/>
      <w:pPr>
        <w:tabs>
          <w:tab w:val="left" w:pos="68"/>
        </w:tabs>
        <w:ind w:left="284"/>
      </w:pPr>
      <w:rPr>
        <w:rFonts w:ascii="Symbol" w:eastAsia="Symbol" w:hAnsi="Symbol"/>
        <w:b/>
        <w:strike w:val="0"/>
        <w:color w:val="000000"/>
        <w:spacing w:val="0"/>
        <w:w w:val="100"/>
        <w:sz w:val="28"/>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C644D"/>
    <w:multiLevelType w:val="hybridMultilevel"/>
    <w:tmpl w:val="2E42FF34"/>
    <w:lvl w:ilvl="0" w:tplc="925A01A2">
      <w:start w:val="2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6B1F61"/>
    <w:multiLevelType w:val="multilevel"/>
    <w:tmpl w:val="C1E630A8"/>
    <w:lvl w:ilvl="0">
      <w:numFmt w:val="bullet"/>
      <w:lvlText w:val="-"/>
      <w:lvlJc w:val="left"/>
      <w:pPr>
        <w:tabs>
          <w:tab w:val="left" w:pos="0"/>
        </w:tabs>
        <w:ind w:left="360"/>
      </w:pPr>
      <w:rPr>
        <w:rFonts w:ascii="Times New Roman" w:eastAsia="Times New Roman" w:hAnsi="Times New Roman" w:cs="Times New Roman" w:hint="default"/>
        <w:b/>
        <w:strike w:val="0"/>
        <w:color w:val="000000"/>
        <w:spacing w:val="0"/>
        <w:w w:val="100"/>
        <w:sz w:val="26"/>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81F29"/>
    <w:multiLevelType w:val="hybridMultilevel"/>
    <w:tmpl w:val="ADC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C51B5"/>
    <w:multiLevelType w:val="multilevel"/>
    <w:tmpl w:val="07D61C1A"/>
    <w:lvl w:ilvl="0">
      <w:start w:val="1"/>
      <w:numFmt w:val="decimal"/>
      <w:lvlText w:val="%1."/>
      <w:lvlJc w:val="left"/>
      <w:pPr>
        <w:ind w:left="1418" w:hanging="568"/>
      </w:pPr>
      <w:rPr>
        <w:rFonts w:hint="default"/>
        <w:strike w:val="0"/>
        <w:color w:val="000000"/>
        <w:spacing w:val="2"/>
        <w:w w:val="100"/>
        <w:sz w:val="26"/>
        <w:vertAlign w:val="baseli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E1D30"/>
    <w:multiLevelType w:val="hybridMultilevel"/>
    <w:tmpl w:val="8492649C"/>
    <w:lvl w:ilvl="0" w:tplc="925A01A2">
      <w:start w:val="20"/>
      <w:numFmt w:val="bullet"/>
      <w:lvlText w:val="—"/>
      <w:lvlJc w:val="left"/>
      <w:pPr>
        <w:ind w:left="360" w:hanging="360"/>
      </w:pPr>
      <w:rPr>
        <w:rFonts w:ascii="Garamond" w:eastAsia="Times New Roman" w:hAnsi="Garamond" w:cs="Times New Roman" w:hint="default"/>
      </w:rPr>
    </w:lvl>
    <w:lvl w:ilvl="1" w:tplc="040C0003">
      <w:start w:val="1"/>
      <w:numFmt w:val="bullet"/>
      <w:lvlText w:val="o"/>
      <w:lvlJc w:val="left"/>
      <w:pPr>
        <w:ind w:left="1080" w:hanging="360"/>
      </w:pPr>
      <w:rPr>
        <w:rFonts w:ascii="Courier New" w:hAnsi="Courier New" w:cs="Courier New" w:hint="default"/>
      </w:rPr>
    </w:lvl>
    <w:lvl w:ilvl="2" w:tplc="10F00940">
      <w:numFmt w:val="bullet"/>
      <w:lvlText w:val="-"/>
      <w:lvlJc w:val="left"/>
      <w:pPr>
        <w:ind w:left="2140" w:hanging="700"/>
      </w:pPr>
      <w:rPr>
        <w:rFonts w:ascii="Garamond" w:eastAsia="Times New Roman" w:hAnsi="Garamond"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F4341DF"/>
    <w:multiLevelType w:val="multilevel"/>
    <w:tmpl w:val="A7420506"/>
    <w:lvl w:ilvl="0">
      <w:start w:val="1"/>
      <w:numFmt w:val="bullet"/>
      <w:lvlText w:val="·"/>
      <w:lvlJc w:val="left"/>
      <w:pPr>
        <w:tabs>
          <w:tab w:val="left" w:pos="720"/>
        </w:tabs>
        <w:ind w:left="720"/>
      </w:pPr>
      <w:rPr>
        <w:rFonts w:ascii="Symbol" w:eastAsia="Symbol" w:hAnsi="Symbol"/>
        <w:b/>
        <w:strike w:val="0"/>
        <w:color w:val="000000"/>
        <w:spacing w:val="1"/>
        <w:w w:val="100"/>
        <w:sz w:val="28"/>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523C95"/>
    <w:multiLevelType w:val="multilevel"/>
    <w:tmpl w:val="9EDAC2E4"/>
    <w:lvl w:ilvl="0">
      <w:start w:val="1"/>
      <w:numFmt w:val="bullet"/>
      <w:lvlText w:val="·"/>
      <w:lvlJc w:val="left"/>
      <w:pPr>
        <w:tabs>
          <w:tab w:val="left" w:pos="288"/>
        </w:tabs>
        <w:ind w:left="720"/>
      </w:pPr>
      <w:rPr>
        <w:rFonts w:ascii="Symbol" w:eastAsia="Symbol" w:hAnsi="Symbol"/>
        <w:strike w:val="0"/>
        <w:color w:val="000000"/>
        <w:spacing w:val="0"/>
        <w:w w:val="100"/>
        <w:sz w:val="26"/>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155A591B"/>
    <w:multiLevelType w:val="hybridMultilevel"/>
    <w:tmpl w:val="49580364"/>
    <w:lvl w:ilvl="0" w:tplc="925A01A2">
      <w:start w:val="20"/>
      <w:numFmt w:val="bullet"/>
      <w:lvlText w:val="—"/>
      <w:lvlJc w:val="left"/>
      <w:pPr>
        <w:ind w:left="36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73198"/>
    <w:multiLevelType w:val="multilevel"/>
    <w:tmpl w:val="4470F88A"/>
    <w:lvl w:ilvl="0">
      <w:start w:val="20"/>
      <w:numFmt w:val="bullet"/>
      <w:lvlText w:val="—"/>
      <w:lvlJc w:val="left"/>
      <w:pPr>
        <w:ind w:left="360" w:hanging="360"/>
      </w:pPr>
      <w:rPr>
        <w:rFonts w:ascii="Garamond" w:eastAsia="Times New Roman" w:hAnsi="Garamond" w:cs="Times New Roman" w:hint="default"/>
        <w:b w:val="0"/>
        <w:strike w:val="0"/>
        <w:color w:val="000000"/>
        <w:spacing w:val="0"/>
        <w:w w:val="100"/>
        <w:sz w:val="28"/>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375CF"/>
    <w:multiLevelType w:val="multilevel"/>
    <w:tmpl w:val="C1E630A8"/>
    <w:lvl w:ilvl="0">
      <w:numFmt w:val="bullet"/>
      <w:lvlText w:val="-"/>
      <w:lvlJc w:val="left"/>
      <w:pPr>
        <w:tabs>
          <w:tab w:val="left" w:pos="0"/>
        </w:tabs>
        <w:ind w:left="360"/>
      </w:pPr>
      <w:rPr>
        <w:rFonts w:ascii="Times New Roman" w:eastAsia="Times New Roman" w:hAnsi="Times New Roman" w:cs="Times New Roman" w:hint="default"/>
        <w:b/>
        <w:strike w:val="0"/>
        <w:color w:val="000000"/>
        <w:spacing w:val="0"/>
        <w:w w:val="100"/>
        <w:sz w:val="26"/>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CB553D"/>
    <w:multiLevelType w:val="hybridMultilevel"/>
    <w:tmpl w:val="B9882F4A"/>
    <w:lvl w:ilvl="0" w:tplc="925A01A2">
      <w:start w:val="2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241CCE"/>
    <w:multiLevelType w:val="hybridMultilevel"/>
    <w:tmpl w:val="5F7810A8"/>
    <w:lvl w:ilvl="0" w:tplc="925A01A2">
      <w:start w:val="2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10F00940">
      <w:numFmt w:val="bullet"/>
      <w:lvlText w:val="-"/>
      <w:lvlJc w:val="left"/>
      <w:pPr>
        <w:ind w:left="2160" w:hanging="360"/>
      </w:pPr>
      <w:rPr>
        <w:rFonts w:ascii="Garamond" w:eastAsia="Times New Roman" w:hAnsi="Garamond"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292CF9"/>
    <w:multiLevelType w:val="multilevel"/>
    <w:tmpl w:val="2B745A8C"/>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6"/>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C86570"/>
    <w:multiLevelType w:val="hybridMultilevel"/>
    <w:tmpl w:val="7BBE9CC0"/>
    <w:lvl w:ilvl="0" w:tplc="02106238">
      <w:numFmt w:val="bullet"/>
      <w:lvlText w:val="–"/>
      <w:lvlJc w:val="left"/>
      <w:pPr>
        <w:ind w:left="720" w:hanging="360"/>
      </w:pPr>
      <w:rPr>
        <w:rFonts w:ascii="Garamond" w:eastAsiaTheme="minorHAnsi" w:hAnsi="Garamond"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0B73E8"/>
    <w:multiLevelType w:val="hybridMultilevel"/>
    <w:tmpl w:val="CBCA937E"/>
    <w:lvl w:ilvl="0" w:tplc="925A01A2">
      <w:start w:val="2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925A01A2">
      <w:start w:val="20"/>
      <w:numFmt w:val="bullet"/>
      <w:lvlText w:val="—"/>
      <w:lvlJc w:val="left"/>
      <w:pPr>
        <w:ind w:left="360" w:hanging="360"/>
      </w:pPr>
      <w:rPr>
        <w:rFonts w:ascii="Garamond" w:eastAsia="Times New Roman" w:hAnsi="Garamond"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C30709"/>
    <w:multiLevelType w:val="hybridMultilevel"/>
    <w:tmpl w:val="853CD588"/>
    <w:lvl w:ilvl="0" w:tplc="75CCAA0A">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
    <w:nsid w:val="407A3EA9"/>
    <w:multiLevelType w:val="hybridMultilevel"/>
    <w:tmpl w:val="59629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D46CE1"/>
    <w:multiLevelType w:val="multilevel"/>
    <w:tmpl w:val="54604FB2"/>
    <w:lvl w:ilvl="0">
      <w:start w:val="1"/>
      <w:numFmt w:val="decimal"/>
      <w:lvlText w:val="%1."/>
      <w:lvlJc w:val="left"/>
      <w:pPr>
        <w:tabs>
          <w:tab w:val="left" w:pos="288"/>
        </w:tabs>
        <w:ind w:left="720"/>
      </w:pPr>
      <w:rPr>
        <w:rFonts w:ascii="Garamond" w:eastAsia="Times New Roman" w:hAnsi="Garamond" w:hint="default"/>
        <w:b w:val="0"/>
        <w:strike w:val="0"/>
        <w:color w:val="000000"/>
        <w:spacing w:val="0"/>
        <w:w w:val="100"/>
        <w:sz w:val="24"/>
        <w:szCs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7A33AD"/>
    <w:multiLevelType w:val="hybridMultilevel"/>
    <w:tmpl w:val="1EE22E86"/>
    <w:lvl w:ilvl="0" w:tplc="E0BAF77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2">
    <w:nsid w:val="48D6780E"/>
    <w:multiLevelType w:val="hybridMultilevel"/>
    <w:tmpl w:val="909C4B1C"/>
    <w:lvl w:ilvl="0" w:tplc="F7260322">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3">
    <w:nsid w:val="52096A5F"/>
    <w:multiLevelType w:val="hybridMultilevel"/>
    <w:tmpl w:val="033C8EE8"/>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144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
    <w:nsid w:val="54A6367A"/>
    <w:multiLevelType w:val="hybridMultilevel"/>
    <w:tmpl w:val="54304C42"/>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60241F8"/>
    <w:multiLevelType w:val="hybridMultilevel"/>
    <w:tmpl w:val="EC6800E0"/>
    <w:lvl w:ilvl="0" w:tplc="690EA676">
      <w:start w:val="20"/>
      <w:numFmt w:val="bullet"/>
      <w:lvlText w:val="—"/>
      <w:lvlJc w:val="left"/>
      <w:pPr>
        <w:ind w:left="0" w:firstLine="0"/>
      </w:pPr>
      <w:rPr>
        <w:rFonts w:ascii="Garamond" w:eastAsia="Times New Roman" w:hAnsi="Garamond" w:cs="Times New Roman" w:hint="default"/>
      </w:rPr>
    </w:lvl>
    <w:lvl w:ilvl="1" w:tplc="040C0003">
      <w:start w:val="1"/>
      <w:numFmt w:val="bullet"/>
      <w:lvlText w:val="o"/>
      <w:lvlJc w:val="left"/>
      <w:pPr>
        <w:ind w:left="1080" w:hanging="360"/>
      </w:pPr>
      <w:rPr>
        <w:rFonts w:ascii="Courier New" w:hAnsi="Courier New" w:cs="Courier New" w:hint="default"/>
      </w:rPr>
    </w:lvl>
    <w:lvl w:ilvl="2" w:tplc="10F00940">
      <w:numFmt w:val="bullet"/>
      <w:lvlText w:val="-"/>
      <w:lvlJc w:val="left"/>
      <w:pPr>
        <w:ind w:left="2140" w:hanging="700"/>
      </w:pPr>
      <w:rPr>
        <w:rFonts w:ascii="Garamond" w:eastAsia="Times New Roman" w:hAnsi="Garamond"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65D77C3"/>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7">
    <w:nsid w:val="5D3A43C8"/>
    <w:multiLevelType w:val="hybridMultilevel"/>
    <w:tmpl w:val="55D2E61E"/>
    <w:lvl w:ilvl="0" w:tplc="040C0015">
      <w:start w:val="1"/>
      <w:numFmt w:val="upperLetter"/>
      <w:lvlText w:val="%1."/>
      <w:lvlJc w:val="left"/>
      <w:pPr>
        <w:ind w:left="720" w:hanging="360"/>
      </w:pPr>
      <w:rPr>
        <w:rFonts w:hint="default"/>
      </w:rPr>
    </w:lvl>
    <w:lvl w:ilvl="1" w:tplc="A99A07B6">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F3F37C4"/>
    <w:multiLevelType w:val="hybridMultilevel"/>
    <w:tmpl w:val="0262ECB4"/>
    <w:lvl w:ilvl="0" w:tplc="FA6831D4">
      <w:numFmt w:val="bullet"/>
      <w:lvlText w:val="–"/>
      <w:lvlJc w:val="left"/>
      <w:pPr>
        <w:ind w:left="360" w:hanging="360"/>
      </w:pPr>
      <w:rPr>
        <w:rFonts w:ascii="Garamond" w:eastAsia="Times New Roman" w:hAnsi="Garamond"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1096806"/>
    <w:multiLevelType w:val="hybridMultilevel"/>
    <w:tmpl w:val="E7241598"/>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0F5DF8"/>
    <w:multiLevelType w:val="hybridMultilevel"/>
    <w:tmpl w:val="974E1B9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36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1">
    <w:nsid w:val="64DC2A96"/>
    <w:multiLevelType w:val="hybridMultilevel"/>
    <w:tmpl w:val="6C547496"/>
    <w:lvl w:ilvl="0" w:tplc="EA7C3346">
      <w:numFmt w:val="bullet"/>
      <w:lvlText w:val="–"/>
      <w:lvlJc w:val="left"/>
      <w:pPr>
        <w:ind w:left="720" w:hanging="360"/>
      </w:pPr>
      <w:rPr>
        <w:rFonts w:ascii="Garamond" w:eastAsiaTheme="minorHAnsi" w:hAnsi="Garamond"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1F1C2E"/>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682112AC"/>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nsid w:val="71064AD4"/>
    <w:multiLevelType w:val="hybridMultilevel"/>
    <w:tmpl w:val="E096908C"/>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9302A1"/>
    <w:multiLevelType w:val="hybridMultilevel"/>
    <w:tmpl w:val="E0826974"/>
    <w:lvl w:ilvl="0" w:tplc="F93E62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nsid w:val="785120DC"/>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37">
    <w:nsid w:val="78534997"/>
    <w:multiLevelType w:val="hybridMultilevel"/>
    <w:tmpl w:val="588EBAEA"/>
    <w:lvl w:ilvl="0" w:tplc="925A01A2">
      <w:start w:val="2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925A01A2">
      <w:start w:val="20"/>
      <w:numFmt w:val="bullet"/>
      <w:lvlText w:val="—"/>
      <w:lvlJc w:val="left"/>
      <w:pPr>
        <w:ind w:left="360" w:hanging="360"/>
      </w:pPr>
      <w:rPr>
        <w:rFonts w:ascii="Garamond" w:eastAsia="Times New Roman" w:hAnsi="Garamond"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7E720F"/>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9">
    <w:nsid w:val="7BEE26DA"/>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40">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5"/>
  </w:num>
  <w:num w:numId="2">
    <w:abstractNumId w:val="40"/>
  </w:num>
  <w:num w:numId="3">
    <w:abstractNumId w:val="8"/>
  </w:num>
  <w:num w:numId="4">
    <w:abstractNumId w:val="21"/>
  </w:num>
  <w:num w:numId="5">
    <w:abstractNumId w:val="40"/>
    <w:lvlOverride w:ilvl="0">
      <w:startOverride w:val="1"/>
    </w:lvlOverride>
  </w:num>
  <w:num w:numId="6">
    <w:abstractNumId w:val="39"/>
  </w:num>
  <w:num w:numId="7">
    <w:abstractNumId w:val="36"/>
  </w:num>
  <w:num w:numId="8">
    <w:abstractNumId w:val="27"/>
  </w:num>
  <w:num w:numId="9">
    <w:abstractNumId w:val="29"/>
  </w:num>
  <w:num w:numId="10">
    <w:abstractNumId w:val="30"/>
  </w:num>
  <w:num w:numId="11">
    <w:abstractNumId w:val="23"/>
  </w:num>
  <w:num w:numId="12">
    <w:abstractNumId w:val="24"/>
  </w:num>
  <w:num w:numId="13">
    <w:abstractNumId w:val="38"/>
  </w:num>
  <w:num w:numId="14">
    <w:abstractNumId w:val="34"/>
  </w:num>
  <w:num w:numId="15">
    <w:abstractNumId w:val="26"/>
  </w:num>
  <w:num w:numId="16">
    <w:abstractNumId w:val="18"/>
  </w:num>
  <w:num w:numId="17">
    <w:abstractNumId w:val="33"/>
  </w:num>
  <w:num w:numId="18">
    <w:abstractNumId w:val="35"/>
  </w:num>
  <w:num w:numId="19">
    <w:abstractNumId w:val="32"/>
  </w:num>
  <w:num w:numId="20">
    <w:abstractNumId w:val="11"/>
  </w:num>
  <w:num w:numId="21">
    <w:abstractNumId w:val="20"/>
  </w:num>
  <w:num w:numId="22">
    <w:abstractNumId w:val="7"/>
  </w:num>
  <w:num w:numId="23">
    <w:abstractNumId w:val="14"/>
  </w:num>
  <w:num w:numId="24">
    <w:abstractNumId w:val="4"/>
  </w:num>
  <w:num w:numId="25">
    <w:abstractNumId w:val="10"/>
  </w:num>
  <w:num w:numId="26">
    <w:abstractNumId w:val="6"/>
  </w:num>
  <w:num w:numId="27">
    <w:abstractNumId w:val="0"/>
  </w:num>
  <w:num w:numId="28">
    <w:abstractNumId w:val="3"/>
  </w:num>
  <w:num w:numId="29">
    <w:abstractNumId w:val="8"/>
  </w:num>
  <w:num w:numId="30">
    <w:abstractNumId w:val="9"/>
  </w:num>
  <w:num w:numId="31">
    <w:abstractNumId w:val="2"/>
  </w:num>
  <w:num w:numId="32">
    <w:abstractNumId w:val="5"/>
  </w:num>
  <w:num w:numId="33">
    <w:abstractNumId w:val="1"/>
  </w:num>
  <w:num w:numId="34">
    <w:abstractNumId w:val="13"/>
  </w:num>
  <w:num w:numId="35">
    <w:abstractNumId w:val="17"/>
  </w:num>
  <w:num w:numId="36">
    <w:abstractNumId w:val="12"/>
  </w:num>
  <w:num w:numId="37">
    <w:abstractNumId w:val="37"/>
  </w:num>
  <w:num w:numId="38">
    <w:abstractNumId w:val="25"/>
  </w:num>
  <w:num w:numId="39">
    <w:abstractNumId w:val="28"/>
  </w:num>
  <w:num w:numId="40">
    <w:abstractNumId w:val="16"/>
  </w:num>
  <w:num w:numId="41">
    <w:abstractNumId w:val="31"/>
  </w:num>
  <w:num w:numId="42">
    <w:abstractNumId w:val="22"/>
  </w:num>
  <w:num w:numId="4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3221"/>
    <w:rsid w:val="000066C6"/>
    <w:rsid w:val="00014A4F"/>
    <w:rsid w:val="000231A5"/>
    <w:rsid w:val="0003092A"/>
    <w:rsid w:val="00054ECC"/>
    <w:rsid w:val="00060331"/>
    <w:rsid w:val="000607EB"/>
    <w:rsid w:val="00071D56"/>
    <w:rsid w:val="00074244"/>
    <w:rsid w:val="00083113"/>
    <w:rsid w:val="00090098"/>
    <w:rsid w:val="0009091C"/>
    <w:rsid w:val="00091F71"/>
    <w:rsid w:val="00097788"/>
    <w:rsid w:val="000A0233"/>
    <w:rsid w:val="000A0C46"/>
    <w:rsid w:val="000B167D"/>
    <w:rsid w:val="000D290B"/>
    <w:rsid w:val="000F21D6"/>
    <w:rsid w:val="000F268B"/>
    <w:rsid w:val="001033F7"/>
    <w:rsid w:val="001173DB"/>
    <w:rsid w:val="00156253"/>
    <w:rsid w:val="00157C51"/>
    <w:rsid w:val="001717BF"/>
    <w:rsid w:val="00183E99"/>
    <w:rsid w:val="001A5C24"/>
    <w:rsid w:val="001C2EBA"/>
    <w:rsid w:val="001D546B"/>
    <w:rsid w:val="001E062E"/>
    <w:rsid w:val="0021126C"/>
    <w:rsid w:val="00213963"/>
    <w:rsid w:val="002149BA"/>
    <w:rsid w:val="00225E5D"/>
    <w:rsid w:val="002475C8"/>
    <w:rsid w:val="00253B40"/>
    <w:rsid w:val="002B03A8"/>
    <w:rsid w:val="002B1432"/>
    <w:rsid w:val="002B608D"/>
    <w:rsid w:val="002D177B"/>
    <w:rsid w:val="002D2578"/>
    <w:rsid w:val="002D4190"/>
    <w:rsid w:val="002F5B3A"/>
    <w:rsid w:val="0030115E"/>
    <w:rsid w:val="0030234D"/>
    <w:rsid w:val="00302545"/>
    <w:rsid w:val="00310E7C"/>
    <w:rsid w:val="00311159"/>
    <w:rsid w:val="00317D29"/>
    <w:rsid w:val="003364A2"/>
    <w:rsid w:val="00343657"/>
    <w:rsid w:val="0034796A"/>
    <w:rsid w:val="00360D35"/>
    <w:rsid w:val="003738FB"/>
    <w:rsid w:val="003757B4"/>
    <w:rsid w:val="003833FB"/>
    <w:rsid w:val="00397D95"/>
    <w:rsid w:val="003A685D"/>
    <w:rsid w:val="003C2163"/>
    <w:rsid w:val="003D5187"/>
    <w:rsid w:val="003F01C5"/>
    <w:rsid w:val="003F146F"/>
    <w:rsid w:val="003F2171"/>
    <w:rsid w:val="003F4F49"/>
    <w:rsid w:val="003F5B3C"/>
    <w:rsid w:val="003F6F89"/>
    <w:rsid w:val="00401FA8"/>
    <w:rsid w:val="00420330"/>
    <w:rsid w:val="00461AAD"/>
    <w:rsid w:val="00464072"/>
    <w:rsid w:val="00487C9F"/>
    <w:rsid w:val="00494726"/>
    <w:rsid w:val="004956BD"/>
    <w:rsid w:val="004B7030"/>
    <w:rsid w:val="004C5765"/>
    <w:rsid w:val="004D1DED"/>
    <w:rsid w:val="004F7EBC"/>
    <w:rsid w:val="00512C5F"/>
    <w:rsid w:val="005144E6"/>
    <w:rsid w:val="00544CD8"/>
    <w:rsid w:val="0054797C"/>
    <w:rsid w:val="00556988"/>
    <w:rsid w:val="005574B4"/>
    <w:rsid w:val="00560417"/>
    <w:rsid w:val="00570C73"/>
    <w:rsid w:val="00594C2D"/>
    <w:rsid w:val="00597717"/>
    <w:rsid w:val="005A27A3"/>
    <w:rsid w:val="005A4D2E"/>
    <w:rsid w:val="005B1A79"/>
    <w:rsid w:val="005D088A"/>
    <w:rsid w:val="005D76E4"/>
    <w:rsid w:val="005F15EB"/>
    <w:rsid w:val="005F2448"/>
    <w:rsid w:val="005F43D1"/>
    <w:rsid w:val="00605C51"/>
    <w:rsid w:val="00606ADB"/>
    <w:rsid w:val="00614422"/>
    <w:rsid w:val="006170D3"/>
    <w:rsid w:val="00630509"/>
    <w:rsid w:val="00641090"/>
    <w:rsid w:val="00644D9E"/>
    <w:rsid w:val="00660FF7"/>
    <w:rsid w:val="0066689B"/>
    <w:rsid w:val="006840F1"/>
    <w:rsid w:val="006A3A13"/>
    <w:rsid w:val="006B5A0D"/>
    <w:rsid w:val="006C668C"/>
    <w:rsid w:val="006E4970"/>
    <w:rsid w:val="006E7351"/>
    <w:rsid w:val="00716E21"/>
    <w:rsid w:val="00733565"/>
    <w:rsid w:val="0074214D"/>
    <w:rsid w:val="00752ED9"/>
    <w:rsid w:val="00764243"/>
    <w:rsid w:val="00774721"/>
    <w:rsid w:val="007A362F"/>
    <w:rsid w:val="007D0EBD"/>
    <w:rsid w:val="007D18D7"/>
    <w:rsid w:val="007E180A"/>
    <w:rsid w:val="007E4647"/>
    <w:rsid w:val="007F55D2"/>
    <w:rsid w:val="007F68A5"/>
    <w:rsid w:val="00805BFF"/>
    <w:rsid w:val="0082582B"/>
    <w:rsid w:val="00836C02"/>
    <w:rsid w:val="00836F60"/>
    <w:rsid w:val="00842E53"/>
    <w:rsid w:val="00843086"/>
    <w:rsid w:val="008508B6"/>
    <w:rsid w:val="00851891"/>
    <w:rsid w:val="008531A6"/>
    <w:rsid w:val="00864CCD"/>
    <w:rsid w:val="00872357"/>
    <w:rsid w:val="008B4013"/>
    <w:rsid w:val="008C2462"/>
    <w:rsid w:val="008C2F93"/>
    <w:rsid w:val="008C6603"/>
    <w:rsid w:val="008E5099"/>
    <w:rsid w:val="008F0139"/>
    <w:rsid w:val="00917A29"/>
    <w:rsid w:val="00927B74"/>
    <w:rsid w:val="00933CDB"/>
    <w:rsid w:val="009452F0"/>
    <w:rsid w:val="009803E2"/>
    <w:rsid w:val="00983547"/>
    <w:rsid w:val="00983A0E"/>
    <w:rsid w:val="00985903"/>
    <w:rsid w:val="00987882"/>
    <w:rsid w:val="009A493D"/>
    <w:rsid w:val="009A665A"/>
    <w:rsid w:val="009B3C84"/>
    <w:rsid w:val="009E22BE"/>
    <w:rsid w:val="009F7D69"/>
    <w:rsid w:val="00A07CD9"/>
    <w:rsid w:val="00A11ADB"/>
    <w:rsid w:val="00A13AC8"/>
    <w:rsid w:val="00A31BCA"/>
    <w:rsid w:val="00A32FC4"/>
    <w:rsid w:val="00A34D23"/>
    <w:rsid w:val="00A40799"/>
    <w:rsid w:val="00A6642A"/>
    <w:rsid w:val="00A706EF"/>
    <w:rsid w:val="00A85A71"/>
    <w:rsid w:val="00A9013D"/>
    <w:rsid w:val="00A933DF"/>
    <w:rsid w:val="00AA4A55"/>
    <w:rsid w:val="00AA7215"/>
    <w:rsid w:val="00AD1944"/>
    <w:rsid w:val="00B05950"/>
    <w:rsid w:val="00B05BE3"/>
    <w:rsid w:val="00B21B9A"/>
    <w:rsid w:val="00B24770"/>
    <w:rsid w:val="00B247A3"/>
    <w:rsid w:val="00B33FE1"/>
    <w:rsid w:val="00B3419E"/>
    <w:rsid w:val="00B67B61"/>
    <w:rsid w:val="00B70D5C"/>
    <w:rsid w:val="00B91628"/>
    <w:rsid w:val="00BB1D11"/>
    <w:rsid w:val="00BB3FB1"/>
    <w:rsid w:val="00BC3455"/>
    <w:rsid w:val="00BD7CAC"/>
    <w:rsid w:val="00BF48A7"/>
    <w:rsid w:val="00BF78C9"/>
    <w:rsid w:val="00C2350A"/>
    <w:rsid w:val="00C430D8"/>
    <w:rsid w:val="00C43FBC"/>
    <w:rsid w:val="00C706F3"/>
    <w:rsid w:val="00C81F3F"/>
    <w:rsid w:val="00C8242E"/>
    <w:rsid w:val="00C950B5"/>
    <w:rsid w:val="00CB2939"/>
    <w:rsid w:val="00CB491D"/>
    <w:rsid w:val="00CC2A63"/>
    <w:rsid w:val="00CD3AEE"/>
    <w:rsid w:val="00D011B5"/>
    <w:rsid w:val="00D2717A"/>
    <w:rsid w:val="00D42298"/>
    <w:rsid w:val="00D44CA8"/>
    <w:rsid w:val="00D6196C"/>
    <w:rsid w:val="00D906BC"/>
    <w:rsid w:val="00D943D0"/>
    <w:rsid w:val="00DA11F7"/>
    <w:rsid w:val="00DC622C"/>
    <w:rsid w:val="00DD700F"/>
    <w:rsid w:val="00DE079C"/>
    <w:rsid w:val="00DE63AB"/>
    <w:rsid w:val="00E03114"/>
    <w:rsid w:val="00E04A58"/>
    <w:rsid w:val="00E22BA4"/>
    <w:rsid w:val="00E30C24"/>
    <w:rsid w:val="00E4526F"/>
    <w:rsid w:val="00E478CB"/>
    <w:rsid w:val="00E63790"/>
    <w:rsid w:val="00E847C5"/>
    <w:rsid w:val="00EA459A"/>
    <w:rsid w:val="00ED1082"/>
    <w:rsid w:val="00EF3A76"/>
    <w:rsid w:val="00F43D5E"/>
    <w:rsid w:val="00F466B5"/>
    <w:rsid w:val="00FB50AC"/>
    <w:rsid w:val="00FC139C"/>
    <w:rsid w:val="00FD3945"/>
    <w:rsid w:val="00FD7A20"/>
    <w:rsid w:val="00FE39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0B7FF5-25B2-1948-8B38-08E4013B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8850</Words>
  <Characters>48675</Characters>
  <Application>Microsoft Macintosh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57411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Cecilia Sgard</cp:lastModifiedBy>
  <cp:revision>6</cp:revision>
  <cp:lastPrinted>2017-05-24T09:49:00Z</cp:lastPrinted>
  <dcterms:created xsi:type="dcterms:W3CDTF">2017-05-24T09:49:00Z</dcterms:created>
  <dcterms:modified xsi:type="dcterms:W3CDTF">2017-06-26T10:54:00Z</dcterms:modified>
</cp:coreProperties>
</file>