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52A9" w14:textId="18BDA653" w:rsidR="000D290B" w:rsidRPr="0059677A" w:rsidRDefault="000F268B" w:rsidP="00B33FE1">
      <w:pPr>
        <w:pStyle w:val="Titre"/>
        <w:rPr>
          <w:color w:val="000090"/>
          <w:spacing w:val="0"/>
          <w:lang w:val="fr-FR"/>
        </w:rPr>
      </w:pPr>
      <w:r w:rsidRPr="0059677A">
        <w:rPr>
          <w:color w:val="000090"/>
          <w:spacing w:val="0"/>
          <w:lang w:val="fr-FR"/>
        </w:rPr>
        <w:t>I</w:t>
      </w:r>
      <w:r w:rsidRPr="0059677A">
        <w:rPr>
          <w:color w:val="000090"/>
          <w:spacing w:val="0"/>
          <w:lang w:val="bg-BG"/>
        </w:rPr>
        <w:t>ntroduction sur la nécessité d’</w:t>
      </w:r>
      <w:r w:rsidR="00A40799" w:rsidRPr="0059677A">
        <w:rPr>
          <w:color w:val="000090"/>
          <w:spacing w:val="0"/>
          <w:lang w:val="bg-BG"/>
        </w:rPr>
        <w:t>une alté</w:t>
      </w:r>
      <w:r w:rsidRPr="0059677A">
        <w:rPr>
          <w:color w:val="000090"/>
          <w:spacing w:val="0"/>
          <w:lang w:val="bg-BG"/>
        </w:rPr>
        <w:t>ration du droit pour les besoins de la restructuration des entreprises</w:t>
      </w:r>
    </w:p>
    <w:p w14:paraId="119D8564" w14:textId="2C143CED" w:rsidR="008508B6" w:rsidRPr="00F14B54" w:rsidRDefault="002E168A" w:rsidP="00B33FE1">
      <w:pPr>
        <w:pBdr>
          <w:bottom w:val="single" w:sz="4" w:space="1" w:color="auto"/>
        </w:pBdr>
        <w:rPr>
          <w:lang w:val="fr-FR"/>
        </w:rPr>
      </w:pPr>
      <w:r>
        <w:rPr>
          <w:lang w:val="fr-FR"/>
        </w:rPr>
        <w:t>p</w:t>
      </w:r>
      <w:bookmarkStart w:id="0" w:name="_GoBack"/>
      <w:bookmarkEnd w:id="0"/>
      <w:r w:rsidR="00597717" w:rsidRPr="00F14B54">
        <w:rPr>
          <w:lang w:val="fr-FR"/>
        </w:rPr>
        <w:t>ar</w:t>
      </w:r>
      <w:r w:rsidR="00983A0E" w:rsidRPr="00F14B54">
        <w:rPr>
          <w:lang w:val="fr-FR"/>
        </w:rPr>
        <w:t xml:space="preserve"> </w:t>
      </w:r>
      <w:r w:rsidR="000F268B" w:rsidRPr="00F14B54">
        <w:rPr>
          <w:b/>
          <w:lang w:val="fr-FR"/>
        </w:rPr>
        <w:t>Déborah SAHEL</w:t>
      </w:r>
      <w:r w:rsidR="00983A0E" w:rsidRPr="00F14B54">
        <w:rPr>
          <w:lang w:val="fr-FR"/>
        </w:rPr>
        <w:t>,</w:t>
      </w:r>
      <w:r w:rsidR="00644D9E" w:rsidRPr="00F14B54">
        <w:rPr>
          <w:lang w:val="fr-FR"/>
        </w:rPr>
        <w:t xml:space="preserve"> </w:t>
      </w:r>
      <w:r w:rsidR="00FC139C" w:rsidRPr="00F14B54">
        <w:rPr>
          <w:lang w:val="fr-FR"/>
        </w:rPr>
        <w:t>doctorant</w:t>
      </w:r>
      <w:r w:rsidR="00D041FE" w:rsidRPr="00F14B54">
        <w:rPr>
          <w:lang w:val="fr-FR"/>
        </w:rPr>
        <w:t>e</w:t>
      </w:r>
      <w:r w:rsidR="00FC139C" w:rsidRPr="00F14B54">
        <w:rPr>
          <w:lang w:val="fr-FR"/>
        </w:rPr>
        <w:t xml:space="preserve"> en droit, </w:t>
      </w:r>
      <w:r w:rsidR="00D041FE" w:rsidRPr="00F14B54">
        <w:rPr>
          <w:lang w:val="fr-FR"/>
        </w:rPr>
        <w:t>chargée d’enseignement</w:t>
      </w:r>
      <w:r w:rsidR="00A23C51">
        <w:rPr>
          <w:lang w:val="fr-FR"/>
        </w:rPr>
        <w:t>s</w:t>
      </w:r>
      <w:r w:rsidR="00D041FE" w:rsidRPr="00F14B54">
        <w:rPr>
          <w:lang w:val="fr-FR"/>
        </w:rPr>
        <w:t xml:space="preserve"> et </w:t>
      </w:r>
      <w:r w:rsidR="000F268B" w:rsidRPr="00F14B54">
        <w:rPr>
          <w:lang w:val="fr-FR"/>
        </w:rPr>
        <w:t>chargée de mission à l’Institut</w:t>
      </w:r>
      <w:r w:rsidR="00D041FE" w:rsidRPr="00F14B54">
        <w:rPr>
          <w:lang w:val="fr-FR"/>
        </w:rPr>
        <w:t xml:space="preserve"> d’Études Judiciaire Jean Domat à l’Université Paris 1 Panthéon-Sorbonne</w:t>
      </w:r>
    </w:p>
    <w:p w14:paraId="1087E8B3" w14:textId="77777777" w:rsidR="003738FB" w:rsidRPr="00F14B54" w:rsidRDefault="003738FB" w:rsidP="00716E21">
      <w:pPr>
        <w:rPr>
          <w:lang w:val="fr-FR"/>
        </w:rPr>
      </w:pPr>
    </w:p>
    <w:p w14:paraId="7F0B6F7C" w14:textId="2586A9F3" w:rsidR="00A2648B" w:rsidRPr="00A2648B" w:rsidRDefault="00A2648B" w:rsidP="00A2648B">
      <w:pPr>
        <w:pStyle w:val="Notedebasdepage"/>
        <w:keepNext/>
        <w:framePr w:dropCap="drop" w:lines="3" w:wrap="around" w:vAnchor="text" w:hAnchor="text"/>
        <w:spacing w:line="810" w:lineRule="exact"/>
        <w:rPr>
          <w:position w:val="-10"/>
          <w:sz w:val="115"/>
          <w:szCs w:val="24"/>
          <w:lang w:val="fr-FR"/>
        </w:rPr>
      </w:pPr>
      <w:r w:rsidRPr="00A2648B">
        <w:rPr>
          <w:position w:val="-10"/>
          <w:sz w:val="115"/>
          <w:szCs w:val="24"/>
          <w:lang w:val="fr-FR"/>
        </w:rPr>
        <w:t>L</w:t>
      </w:r>
    </w:p>
    <w:p w14:paraId="2E91BA8A" w14:textId="28F3A17B" w:rsidR="00D041FE" w:rsidRPr="00F14B54" w:rsidRDefault="00A2648B" w:rsidP="0069582B">
      <w:pPr>
        <w:pStyle w:val="Notedebasdepage"/>
        <w:rPr>
          <w:lang w:val="fr-FR"/>
        </w:rPr>
      </w:pPr>
      <w:r>
        <w:rPr>
          <w:sz w:val="24"/>
          <w:szCs w:val="24"/>
          <w:lang w:val="fr-FR"/>
        </w:rPr>
        <w:t>e</w:t>
      </w:r>
      <w:r w:rsidR="00D041FE" w:rsidRPr="00F14B54">
        <w:rPr>
          <w:sz w:val="24"/>
          <w:szCs w:val="24"/>
          <w:lang w:val="fr-FR"/>
        </w:rPr>
        <w:t xml:space="preserve"> « droit des entreprises en difficulté », anciennement « droit des faillites »</w:t>
      </w:r>
      <w:r w:rsidR="00D041FE" w:rsidRPr="00F14B54">
        <w:rPr>
          <w:rStyle w:val="Marquenotebasdepage"/>
          <w:sz w:val="24"/>
          <w:szCs w:val="24"/>
        </w:rPr>
        <w:footnoteReference w:id="1"/>
      </w:r>
      <w:r w:rsidR="00D041FE" w:rsidRPr="00F14B54">
        <w:rPr>
          <w:sz w:val="24"/>
          <w:szCs w:val="24"/>
          <w:lang w:val="fr-FR"/>
        </w:rPr>
        <w:t xml:space="preserve"> puis « droit des procédures collectives de paiement », a connu, ces dernières années, une évolution très profonde, passant d’une discipline orientée vers le pur désintéressement des créanciers d’un commerçant qui cesse ses paiements, à un ensemble de règles destinées à prévenir et à traiter les défaillances d’entreprises</w:t>
      </w:r>
      <w:r w:rsidR="00D041FE" w:rsidRPr="00F14B54">
        <w:rPr>
          <w:rStyle w:val="Marquenotebasdepage"/>
          <w:sz w:val="24"/>
          <w:szCs w:val="24"/>
        </w:rPr>
        <w:footnoteReference w:id="2"/>
      </w:r>
      <w:r w:rsidR="00D041FE" w:rsidRPr="00F14B54">
        <w:rPr>
          <w:sz w:val="24"/>
          <w:szCs w:val="24"/>
          <w:lang w:val="fr-FR"/>
        </w:rPr>
        <w:t>. Avec les nombreuses réformes de la matière</w:t>
      </w:r>
      <w:r w:rsidR="00D041FE" w:rsidRPr="00F14B54">
        <w:rPr>
          <w:rStyle w:val="Marquenotebasdepage"/>
          <w:sz w:val="24"/>
          <w:szCs w:val="24"/>
        </w:rPr>
        <w:footnoteReference w:id="3"/>
      </w:r>
      <w:r w:rsidR="00D041FE" w:rsidRPr="00F14B54">
        <w:rPr>
          <w:sz w:val="24"/>
          <w:szCs w:val="24"/>
          <w:lang w:val="fr-FR"/>
        </w:rPr>
        <w:t>, c’est en effet toute la philosophie des procédures collectives qui s’est redessinée</w:t>
      </w:r>
      <w:r w:rsidR="00D041FE" w:rsidRPr="00F14B54">
        <w:rPr>
          <w:rStyle w:val="Marquenotebasdepage"/>
          <w:sz w:val="24"/>
          <w:szCs w:val="24"/>
        </w:rPr>
        <w:footnoteReference w:id="4"/>
      </w:r>
      <w:r w:rsidR="00D041FE" w:rsidRPr="00F14B54">
        <w:rPr>
          <w:sz w:val="24"/>
          <w:szCs w:val="24"/>
          <w:lang w:val="fr-FR"/>
        </w:rPr>
        <w:t>. Elle a aujourd’hui pour objectif d’offrir à une entreprise qui fait face à des difficultés, des outils afin de soigner les maux qui l’affectent tout en sauvegardant des emplois</w:t>
      </w:r>
      <w:r w:rsidR="00D041FE" w:rsidRPr="00F14B54">
        <w:rPr>
          <w:rStyle w:val="Marquenotebasdepage"/>
          <w:sz w:val="24"/>
          <w:szCs w:val="24"/>
        </w:rPr>
        <w:footnoteReference w:id="5"/>
      </w:r>
      <w:r w:rsidR="00D041FE" w:rsidRPr="00F14B54">
        <w:rPr>
          <w:sz w:val="24"/>
          <w:szCs w:val="24"/>
          <w:lang w:val="fr-FR"/>
        </w:rPr>
        <w:t>. En cela, le droit des entreprises en difficulté ne constitue plus seulement un droit du paiement, une relation créancier-débiteur, fût-elle collective, mais aussi un droit du maintien de l’activité et des restructurations économiques</w:t>
      </w:r>
      <w:r w:rsidR="00D041FE" w:rsidRPr="00F14B54">
        <w:rPr>
          <w:rStyle w:val="Marquenotebasdepage"/>
          <w:sz w:val="24"/>
          <w:szCs w:val="24"/>
        </w:rPr>
        <w:footnoteReference w:id="6"/>
      </w:r>
      <w:r w:rsidR="00D041FE" w:rsidRPr="00F14B54">
        <w:rPr>
          <w:sz w:val="24"/>
          <w:szCs w:val="24"/>
          <w:lang w:val="fr-FR"/>
        </w:rPr>
        <w:t>. Sa première particularité serait d’être un droit de « procédures » nourries d’un corps de règles purement juridiques, au service de l’économie, une branche essentielle du droit économique</w:t>
      </w:r>
      <w:r w:rsidR="00D041FE" w:rsidRPr="00F14B54">
        <w:rPr>
          <w:rStyle w:val="Marquenotebasdepage"/>
          <w:sz w:val="24"/>
          <w:szCs w:val="24"/>
        </w:rPr>
        <w:footnoteReference w:id="7"/>
      </w:r>
      <w:r w:rsidR="00D041FE" w:rsidRPr="00F14B54">
        <w:rPr>
          <w:sz w:val="24"/>
          <w:szCs w:val="24"/>
          <w:lang w:val="fr-FR"/>
        </w:rPr>
        <w:t xml:space="preserve">. </w:t>
      </w:r>
      <w:r w:rsidR="00D041FE" w:rsidRPr="00F14B54">
        <w:rPr>
          <w:sz w:val="24"/>
          <w:szCs w:val="24"/>
          <w:lang w:val="fr-FR"/>
        </w:rPr>
        <w:lastRenderedPageBreak/>
        <w:t>Comment serait-il dès lors possible d’isoler ces procédures, inscrites et ancrées plus que jamais dans les réalités du monde des affaires</w:t>
      </w:r>
      <w:r w:rsidR="00EB4267" w:rsidRPr="00F14B54">
        <w:rPr>
          <w:sz w:val="24"/>
          <w:szCs w:val="24"/>
          <w:lang w:val="fr-FR"/>
        </w:rPr>
        <w:t> </w:t>
      </w:r>
      <w:r w:rsidR="00D041FE" w:rsidRPr="00F14B54">
        <w:rPr>
          <w:sz w:val="24"/>
          <w:szCs w:val="24"/>
          <w:lang w:val="fr-FR"/>
        </w:rPr>
        <w:t xml:space="preserve">? </w:t>
      </w:r>
    </w:p>
    <w:p w14:paraId="586FED72" w14:textId="41C834D7" w:rsidR="00D041FE" w:rsidRPr="00F14B54" w:rsidRDefault="00D041FE" w:rsidP="0069582B">
      <w:pPr>
        <w:pStyle w:val="Notedebasdepage"/>
        <w:rPr>
          <w:lang w:val="fr-FR"/>
        </w:rPr>
      </w:pPr>
      <w:r w:rsidRPr="00F14B54">
        <w:rPr>
          <w:sz w:val="24"/>
          <w:szCs w:val="24"/>
          <w:lang w:val="fr-FR"/>
        </w:rPr>
        <w:t>Le droit des entreprises en difficulté se révèle être en effet une matière à la croisée des chemins et à l’épicentre des autres disciplines du droit</w:t>
      </w:r>
      <w:r w:rsidRPr="00F14B54">
        <w:rPr>
          <w:rStyle w:val="Marquenotebasdepage"/>
          <w:sz w:val="24"/>
          <w:szCs w:val="24"/>
        </w:rPr>
        <w:footnoteReference w:id="8"/>
      </w:r>
      <w:r w:rsidRPr="00F14B54">
        <w:rPr>
          <w:sz w:val="24"/>
          <w:szCs w:val="24"/>
          <w:lang w:val="fr-FR"/>
        </w:rPr>
        <w:t>. Loin d’être isolée, d’être une pure matière de spécialistes</w:t>
      </w:r>
      <w:r w:rsidRPr="00F14B54">
        <w:rPr>
          <w:rStyle w:val="Marquenotebasdepage"/>
          <w:sz w:val="24"/>
          <w:szCs w:val="24"/>
        </w:rPr>
        <w:footnoteReference w:id="9"/>
      </w:r>
      <w:r w:rsidR="007009A9">
        <w:rPr>
          <w:sz w:val="24"/>
          <w:szCs w:val="24"/>
          <w:lang w:val="fr-FR"/>
        </w:rPr>
        <w:t xml:space="preserve">, elle est au contraire </w:t>
      </w:r>
      <w:r w:rsidRPr="00F14B54">
        <w:rPr>
          <w:sz w:val="24"/>
          <w:szCs w:val="24"/>
          <w:lang w:val="fr-FR"/>
        </w:rPr>
        <w:t>un lieu de rencontre privilégiée de toutes les branches du droit, en perpétuelle interaction avec les autres disciplines qu’elle ne peut pas et qu’elle ne doit pas ignorer, au regard des nouvelles finalités et objectifs qui lui sont assignés</w:t>
      </w:r>
      <w:r w:rsidRPr="00F14B54">
        <w:rPr>
          <w:rStyle w:val="Marquenotebasdepage"/>
          <w:sz w:val="24"/>
          <w:szCs w:val="24"/>
        </w:rPr>
        <w:footnoteReference w:id="10"/>
      </w:r>
      <w:r w:rsidRPr="00F14B54">
        <w:rPr>
          <w:sz w:val="24"/>
          <w:szCs w:val="24"/>
          <w:lang w:val="fr-FR"/>
        </w:rPr>
        <w:t>. Une matière aux enjeux des plus délicats</w:t>
      </w:r>
      <w:r w:rsidRPr="00F14B54">
        <w:rPr>
          <w:rStyle w:val="Marquenotebasdepage"/>
          <w:sz w:val="24"/>
          <w:szCs w:val="24"/>
        </w:rPr>
        <w:footnoteReference w:id="11"/>
      </w:r>
      <w:r w:rsidRPr="00F14B54">
        <w:rPr>
          <w:sz w:val="24"/>
          <w:szCs w:val="24"/>
          <w:lang w:val="fr-FR"/>
        </w:rPr>
        <w:t>, qui certes a dû se confronter et s’adapter aux autres branches du droit par la mise en place d’outils permettant leur reconnaissance nécessaire</w:t>
      </w:r>
      <w:r w:rsidRPr="00F14B54">
        <w:rPr>
          <w:rStyle w:val="Marquenotebasdepage"/>
          <w:sz w:val="24"/>
          <w:szCs w:val="24"/>
        </w:rPr>
        <w:footnoteReference w:id="12"/>
      </w:r>
      <w:r w:rsidRPr="00F14B54">
        <w:rPr>
          <w:sz w:val="24"/>
          <w:szCs w:val="24"/>
          <w:lang w:val="fr-FR"/>
        </w:rPr>
        <w:t> ; mais une matière qui est surtout venue leur porter atteinte, les altérer, leur imposer toute sa suprématie au nom des impérieux besoins de la restructuration des entreprises en difficulté</w:t>
      </w:r>
      <w:r w:rsidRPr="00F14B54">
        <w:rPr>
          <w:rStyle w:val="Marquenotebasdepage"/>
          <w:sz w:val="24"/>
          <w:szCs w:val="24"/>
        </w:rPr>
        <w:footnoteReference w:id="13"/>
      </w:r>
      <w:r w:rsidRPr="00F14B54">
        <w:rPr>
          <w:sz w:val="24"/>
          <w:szCs w:val="24"/>
          <w:lang w:val="fr-FR"/>
        </w:rPr>
        <w:t xml:space="preserve">. </w:t>
      </w:r>
    </w:p>
    <w:p w14:paraId="4BE5B04D" w14:textId="59836618" w:rsidR="00D041FE" w:rsidRPr="00F14B54" w:rsidRDefault="00D041FE" w:rsidP="0069582B">
      <w:pPr>
        <w:tabs>
          <w:tab w:val="left" w:pos="3896"/>
        </w:tabs>
        <w:rPr>
          <w:lang w:val="fr-FR"/>
        </w:rPr>
      </w:pPr>
      <w:r w:rsidRPr="00F14B54">
        <w:rPr>
          <w:lang w:val="fr-FR"/>
        </w:rPr>
        <w:t>Le droit offre aux entreprises en difficulté une palette d’outils de traitement, tantôt amiables, confidentiels et anticipés</w:t>
      </w:r>
      <w:r w:rsidRPr="00F14B54">
        <w:rPr>
          <w:rStyle w:val="Marquenotebasdepage"/>
        </w:rPr>
        <w:footnoteReference w:id="14"/>
      </w:r>
      <w:r w:rsidRPr="00F14B54">
        <w:rPr>
          <w:lang w:val="fr-FR"/>
        </w:rPr>
        <w:t>, tantôt judiciaires</w:t>
      </w:r>
      <w:r w:rsidRPr="00F14B54">
        <w:rPr>
          <w:rStyle w:val="Marquenotebasdepage"/>
        </w:rPr>
        <w:footnoteReference w:id="15"/>
      </w:r>
      <w:r w:rsidRPr="00F14B54">
        <w:rPr>
          <w:lang w:val="fr-FR"/>
        </w:rPr>
        <w:t>, mise au service de leur restructuration</w:t>
      </w:r>
      <w:r w:rsidR="008057AA">
        <w:rPr>
          <w:rStyle w:val="Marquenotebasdepage"/>
          <w:lang w:val="fr-FR"/>
        </w:rPr>
        <w:footnoteReference w:id="16"/>
      </w:r>
      <w:r w:rsidRPr="00F14B54">
        <w:rPr>
          <w:lang w:val="fr-FR"/>
        </w:rPr>
        <w:t>. Le droit français demeure en cela un droit des plus volontariste</w:t>
      </w:r>
      <w:r w:rsidR="004B0158">
        <w:rPr>
          <w:lang w:val="fr-FR"/>
        </w:rPr>
        <w:t>s</w:t>
      </w:r>
      <w:r w:rsidRPr="00F14B54">
        <w:rPr>
          <w:lang w:val="fr-FR"/>
        </w:rPr>
        <w:t xml:space="preserve"> mettant en œuvre des moyens très ambitieux au service du sauvetage de l</w:t>
      </w:r>
      <w:r w:rsidR="00EB4267" w:rsidRPr="00F14B54">
        <w:rPr>
          <w:lang w:val="fr-FR"/>
        </w:rPr>
        <w:t>’</w:t>
      </w:r>
      <w:r w:rsidRPr="00F14B54">
        <w:rPr>
          <w:lang w:val="fr-FR"/>
        </w:rPr>
        <w:t>entreprise qui connaît des difficultés</w:t>
      </w:r>
      <w:r w:rsidRPr="00F14B54">
        <w:rPr>
          <w:rStyle w:val="Marquenotebasdepage"/>
        </w:rPr>
        <w:footnoteReference w:id="17"/>
      </w:r>
      <w:r w:rsidRPr="00F14B54">
        <w:rPr>
          <w:lang w:val="fr-FR"/>
        </w:rPr>
        <w:t>. Celle-ci peut tout aussi bien faire le choix d’une négociation de sa restructuration avec ses créanciers dans un cadre amiable qui offre l</w:t>
      </w:r>
      <w:r w:rsidR="00EB4267" w:rsidRPr="00F14B54">
        <w:rPr>
          <w:lang w:val="fr-FR"/>
        </w:rPr>
        <w:t>’</w:t>
      </w:r>
      <w:r w:rsidRPr="00F14B54">
        <w:rPr>
          <w:lang w:val="fr-FR"/>
        </w:rPr>
        <w:t>avantage de la discrétion ou alors recourir à une procédure collective, cadre propice à la paralysie des poursuites des créanciers, et, si elle est non liquidative, véritable période de répit favorable, à dessein d’élaborer un plan de continuation de l’activité</w:t>
      </w:r>
      <w:r w:rsidRPr="00F14B54">
        <w:rPr>
          <w:rStyle w:val="Marquenotebasdepage"/>
        </w:rPr>
        <w:footnoteReference w:id="18"/>
      </w:r>
      <w:r w:rsidRPr="00F14B54">
        <w:rPr>
          <w:lang w:val="fr-FR"/>
        </w:rPr>
        <w:t xml:space="preserve">. Le droit français crée ainsi, </w:t>
      </w:r>
      <w:r w:rsidRPr="00F14B54">
        <w:rPr>
          <w:i/>
          <w:lang w:val="fr-FR"/>
        </w:rPr>
        <w:t>via</w:t>
      </w:r>
      <w:r w:rsidRPr="00F14B54">
        <w:rPr>
          <w:lang w:val="fr-FR"/>
        </w:rPr>
        <w:t xml:space="preserve"> son corpus de règles du Livre</w:t>
      </w:r>
      <w:r w:rsidR="00EB4267" w:rsidRPr="00F14B54">
        <w:rPr>
          <w:lang w:val="fr-FR"/>
        </w:rPr>
        <w:t> </w:t>
      </w:r>
      <w:r w:rsidRPr="00F14B54">
        <w:rPr>
          <w:lang w:val="fr-FR"/>
        </w:rPr>
        <w:t xml:space="preserve">VI du Code de </w:t>
      </w:r>
      <w:r w:rsidRPr="00F14B54">
        <w:rPr>
          <w:lang w:val="fr-FR"/>
        </w:rPr>
        <w:lastRenderedPageBreak/>
        <w:t>commerce, un environnement des plus privilégiés pour surmonter la crise et asseoir la restructuration des entreprises. Mais cette ambition, largement dépendante de la pérennité de ce cadre d’exception, fait bien souvent fi des autres branches du droit</w:t>
      </w:r>
      <w:r w:rsidR="0021647B">
        <w:rPr>
          <w:rStyle w:val="Marquenotebasdepage"/>
          <w:lang w:val="fr-FR"/>
        </w:rPr>
        <w:footnoteReference w:id="19"/>
      </w:r>
      <w:r w:rsidRPr="00F14B54">
        <w:rPr>
          <w:lang w:val="fr-FR"/>
        </w:rPr>
        <w:t>. Car tenir un propos introductif sur la nécessité d’une altération du droit pour les besoins de la restructuration des entreprises, c’est mettre en exergue tout l’impérialisme du droit des entreprises en difficulté et évoquer sans conteste un conflit de normes (au vainqueur tout désigné), une dynamique d’interférence entre les matières : c’est faire le constat des altérations nécessaires des lois à l’épreuve du droit des entreprises en difficulté</w:t>
      </w:r>
      <w:r w:rsidRPr="00F14B54">
        <w:rPr>
          <w:rStyle w:val="Marquenotebasdepage"/>
        </w:rPr>
        <w:footnoteReference w:id="20"/>
      </w:r>
      <w:r w:rsidRPr="00F14B54">
        <w:rPr>
          <w:lang w:val="fr-FR"/>
        </w:rPr>
        <w:t>. Mais quelle finalité de ces « altérations nécessaires</w:t>
      </w:r>
      <w:r w:rsidR="00EB4267" w:rsidRPr="00F14B54">
        <w:rPr>
          <w:lang w:val="fr-FR"/>
        </w:rPr>
        <w:t> </w:t>
      </w:r>
      <w:r w:rsidRPr="00F14B54">
        <w:rPr>
          <w:lang w:val="fr-FR"/>
        </w:rPr>
        <w:t>» ? Au nom de quelle quête aussi vaillante soit-elle va t-on volontairement et activement porter atteinte à la substance même des autres normes du droit</w:t>
      </w:r>
      <w:r w:rsidR="00EB4267" w:rsidRPr="00F14B54">
        <w:rPr>
          <w:lang w:val="fr-FR"/>
        </w:rPr>
        <w:t> </w:t>
      </w:r>
      <w:r w:rsidRPr="00F14B54">
        <w:rPr>
          <w:lang w:val="fr-FR"/>
        </w:rPr>
        <w:t>? Au nom des besoins de la restructuration des entreprises en difficulté</w:t>
      </w:r>
      <w:r w:rsidRPr="00F14B54">
        <w:rPr>
          <w:rStyle w:val="Marquenotebasdepage"/>
        </w:rPr>
        <w:footnoteReference w:id="21"/>
      </w:r>
      <w:r w:rsidRPr="00F14B54">
        <w:rPr>
          <w:lang w:val="fr-FR"/>
        </w:rPr>
        <w:t xml:space="preserve">. </w:t>
      </w:r>
    </w:p>
    <w:p w14:paraId="0D1517D3" w14:textId="44FB3BDD" w:rsidR="00D041FE" w:rsidRPr="00F14B54" w:rsidRDefault="00D041FE" w:rsidP="0069582B">
      <w:pPr>
        <w:tabs>
          <w:tab w:val="left" w:pos="3896"/>
        </w:tabs>
        <w:rPr>
          <w:highlight w:val="red"/>
          <w:lang w:val="fr-FR"/>
        </w:rPr>
      </w:pPr>
      <w:r w:rsidRPr="00F14B54">
        <w:rPr>
          <w:lang w:val="fr-FR"/>
        </w:rPr>
        <w:t>Le droit français des entreprises en difficulté est un droit en perpétuel mouvement et les innombrables réformes de ces dernières années en attestent</w:t>
      </w:r>
      <w:r w:rsidRPr="00F14B54">
        <w:rPr>
          <w:rStyle w:val="Marquenotebasdepage"/>
        </w:rPr>
        <w:footnoteReference w:id="22"/>
      </w:r>
      <w:r w:rsidRPr="00F14B54">
        <w:rPr>
          <w:lang w:val="fr-FR"/>
        </w:rPr>
        <w:t>. Dans sa nouvelle démarche de traitement des défaillances et de restructuration des entreprises, il se veut être un « droit spécial » presque, «</w:t>
      </w:r>
      <w:r w:rsidR="00D14761">
        <w:rPr>
          <w:lang w:val="fr-FR"/>
        </w:rPr>
        <w:t> exorbitant de droit commun »</w:t>
      </w:r>
      <w:r w:rsidR="003D400F">
        <w:rPr>
          <w:rStyle w:val="Marquenotebasdepage"/>
          <w:lang w:val="fr-FR"/>
        </w:rPr>
        <w:footnoteReference w:id="23"/>
      </w:r>
      <w:r w:rsidR="00D14761">
        <w:rPr>
          <w:lang w:val="fr-FR"/>
        </w:rPr>
        <w:t>.</w:t>
      </w:r>
      <w:r w:rsidR="00FA367E">
        <w:rPr>
          <w:lang w:val="fr-FR"/>
        </w:rPr>
        <w:t xml:space="preserve"> </w:t>
      </w:r>
      <w:r w:rsidR="00D14761">
        <w:rPr>
          <w:lang w:val="fr-FR"/>
        </w:rPr>
        <w:t>A</w:t>
      </w:r>
      <w:r w:rsidRPr="00F14B54">
        <w:rPr>
          <w:lang w:val="fr-FR"/>
        </w:rPr>
        <w:t xml:space="preserve"> l’épreuve de ce droit impérieux aux règles procédurales propres et aux ambitions dévoilées, les autres branches du droit sont limitées subissant une altération inévitable, presque « passive » : un véritable sacrifice de ces droits sur l’autel de la nécessaire restructuration des entreprises</w:t>
      </w:r>
      <w:r w:rsidRPr="00F14B54">
        <w:rPr>
          <w:rStyle w:val="Marquenotebasdepage"/>
        </w:rPr>
        <w:footnoteReference w:id="24"/>
      </w:r>
      <w:r w:rsidRPr="00F14B54">
        <w:rPr>
          <w:lang w:val="fr-FR"/>
        </w:rPr>
        <w:t>. Mais où donc placer le curseur ? Jusqu’où le droit français peut-il aller au nom de la nécessaire restructuration des entreprises en difficulté ? Quelles sont les frontières de ce principe de subsidiarité du droit par rapport aux procédures collectives ?</w:t>
      </w:r>
      <w:r w:rsidR="00ED1DE8">
        <w:rPr>
          <w:b/>
          <w:lang w:val="fr-FR"/>
        </w:rPr>
        <w:t xml:space="preserve"> </w:t>
      </w:r>
      <w:r w:rsidRPr="00F14B54">
        <w:rPr>
          <w:lang w:val="fr-FR"/>
        </w:rPr>
        <w:t>Le droit national collectiviste, très volontariste, a placé la barre très haute, au nom de ses impératifs de restructuration et de sauvetage des entreprises</w:t>
      </w:r>
      <w:r w:rsidRPr="00F14B54">
        <w:rPr>
          <w:rStyle w:val="Marquenotebasdepage"/>
        </w:rPr>
        <w:footnoteReference w:id="25"/>
      </w:r>
      <w:r w:rsidRPr="00F14B54">
        <w:rPr>
          <w:lang w:val="fr-FR"/>
        </w:rPr>
        <w:t>. La suprématie ainsi que l’impérialisme des règles du Livre</w:t>
      </w:r>
      <w:r w:rsidR="00EB4267" w:rsidRPr="00F14B54">
        <w:rPr>
          <w:lang w:val="fr-FR"/>
        </w:rPr>
        <w:t> </w:t>
      </w:r>
      <w:r w:rsidRPr="00F14B54">
        <w:rPr>
          <w:lang w:val="fr-FR"/>
        </w:rPr>
        <w:t xml:space="preserve">VI du Code de commerce sont les maîtres mots et le droit des entreprises en difficulté se présente comme un droit perturbateur : un véritable banc d’essai pour tester l’efficacité de </w:t>
      </w:r>
      <w:r w:rsidRPr="00F14B54">
        <w:rPr>
          <w:lang w:val="fr-FR"/>
        </w:rPr>
        <w:lastRenderedPageBreak/>
        <w:t>tel ou tel mécanisme juridique</w:t>
      </w:r>
      <w:r w:rsidRPr="00F14B54">
        <w:rPr>
          <w:rStyle w:val="Marquenotebasdepage"/>
        </w:rPr>
        <w:footnoteReference w:id="26"/>
      </w:r>
      <w:r w:rsidRPr="00F14B54">
        <w:rPr>
          <w:lang w:val="fr-FR"/>
        </w:rPr>
        <w:t xml:space="preserve">. Et les exemples sont nombreux pour illustrer cette altération nécessaire du droit pour les besoins de la restructuration des entreprises. </w:t>
      </w:r>
    </w:p>
    <w:p w14:paraId="0D047222" w14:textId="7D417946" w:rsidR="00D041FE" w:rsidRPr="00F14B54" w:rsidRDefault="00D041FE" w:rsidP="0069582B">
      <w:pPr>
        <w:tabs>
          <w:tab w:val="left" w:pos="3896"/>
        </w:tabs>
        <w:rPr>
          <w:lang w:val="fr-FR"/>
        </w:rPr>
      </w:pPr>
      <w:r w:rsidRPr="00F14B54">
        <w:rPr>
          <w:lang w:val="fr-FR"/>
        </w:rPr>
        <w:t>Le droit des régimes matrimoniaux tout d’abord est mis à rude épreuve à l’aune d’une procédure collective</w:t>
      </w:r>
      <w:r w:rsidRPr="00F14B54">
        <w:rPr>
          <w:rStyle w:val="Marquenotebasdepage"/>
        </w:rPr>
        <w:footnoteReference w:id="27"/>
      </w:r>
      <w:r w:rsidRPr="00F14B54">
        <w:rPr>
          <w:lang w:val="fr-FR"/>
        </w:rPr>
        <w:t>. C’est là toute la problématique de l’appropriation des biens du conjoint du chef d’entreprise et de l’enjeu réel que constitue le choix d’un régime matrimonial efficace à l’épreuve d’une procédure collective</w:t>
      </w:r>
      <w:r w:rsidRPr="00F14B54">
        <w:rPr>
          <w:rStyle w:val="Marquenotebasdepage"/>
        </w:rPr>
        <w:footnoteReference w:id="28"/>
      </w:r>
      <w:r w:rsidRPr="00F14B54">
        <w:rPr>
          <w:lang w:val="fr-FR"/>
        </w:rPr>
        <w:t>. Les biens communs faisant partie du gage des créanciers de la collectivité saisissante</w:t>
      </w:r>
      <w:r w:rsidRPr="00F14B54">
        <w:rPr>
          <w:rStyle w:val="Marquenotebasdepage"/>
        </w:rPr>
        <w:footnoteReference w:id="29"/>
      </w:r>
      <w:r w:rsidRPr="00F14B54">
        <w:rPr>
          <w:lang w:val="fr-FR"/>
        </w:rPr>
        <w:t>, c’est-à-dire entrant dans le périmètre de l’effet réel de la procédure collective</w:t>
      </w:r>
      <w:r w:rsidRPr="00F14B54">
        <w:rPr>
          <w:rStyle w:val="Marquenotebasdepage"/>
        </w:rPr>
        <w:footnoteReference w:id="30"/>
      </w:r>
      <w:r w:rsidRPr="00F14B54">
        <w:rPr>
          <w:lang w:val="fr-FR"/>
        </w:rPr>
        <w:t xml:space="preserve">, à l’épreuve d’une procédure liquidative, l’époux </w:t>
      </w:r>
      <w:r w:rsidRPr="00F14B54">
        <w:rPr>
          <w:i/>
          <w:lang w:val="fr-FR"/>
        </w:rPr>
        <w:t>in bonis</w:t>
      </w:r>
      <w:r w:rsidRPr="00F14B54">
        <w:rPr>
          <w:lang w:val="fr-FR"/>
        </w:rPr>
        <w:t xml:space="preserve"> commun en bien est dès lors dessaisi de ses droits sur ces biens et ses créanciers devront déclarer leur créance à la procédure et subir de plein fouet sa discipline collective</w:t>
      </w:r>
      <w:r w:rsidRPr="00F14B54">
        <w:rPr>
          <w:rStyle w:val="Marquenotebasdepage"/>
        </w:rPr>
        <w:footnoteReference w:id="31"/>
      </w:r>
      <w:r w:rsidRPr="00F14B54">
        <w:rPr>
          <w:lang w:val="fr-FR"/>
        </w:rPr>
        <w:t>. L’intérêt de la famille cède le pas à celui de l’entreprise en difficulté et à ses besoins de restructuration</w:t>
      </w:r>
      <w:r w:rsidRPr="00F14B54">
        <w:rPr>
          <w:rStyle w:val="Marquenotebasdepage"/>
        </w:rPr>
        <w:footnoteReference w:id="32"/>
      </w:r>
      <w:r w:rsidRPr="00F14B54">
        <w:rPr>
          <w:lang w:val="fr-FR"/>
        </w:rPr>
        <w:t xml:space="preserve">. </w:t>
      </w:r>
    </w:p>
    <w:p w14:paraId="22646396" w14:textId="53D66CF0" w:rsidR="00D041FE" w:rsidRPr="00F14B54" w:rsidRDefault="00D041FE" w:rsidP="0069582B">
      <w:pPr>
        <w:tabs>
          <w:tab w:val="left" w:pos="3896"/>
        </w:tabs>
        <w:rPr>
          <w:lang w:val="fr-FR"/>
        </w:rPr>
      </w:pPr>
      <w:r w:rsidRPr="00F14B54">
        <w:rPr>
          <w:lang w:val="fr-FR"/>
        </w:rPr>
        <w:t>Dans une même perspective, le droit des biens est également largement malmené par le droit des entreprises en difficulté</w:t>
      </w:r>
      <w:r w:rsidRPr="00F14B54">
        <w:rPr>
          <w:rStyle w:val="Marquenotebasdepage"/>
        </w:rPr>
        <w:footnoteReference w:id="33"/>
      </w:r>
      <w:r w:rsidRPr="00F14B54">
        <w:rPr>
          <w:lang w:val="fr-FR"/>
        </w:rPr>
        <w:t xml:space="preserve">. La règle du dessaisissement du débiteur sur ses biens est commune à l’ensemble des procédures collectives à des degrés d’intensités </w:t>
      </w:r>
      <w:r w:rsidRPr="00F14B54">
        <w:rPr>
          <w:lang w:val="fr-FR"/>
        </w:rPr>
        <w:lastRenderedPageBreak/>
        <w:t>différentes</w:t>
      </w:r>
      <w:r w:rsidRPr="00F14B54">
        <w:rPr>
          <w:rStyle w:val="Marquenotebasdepage"/>
        </w:rPr>
        <w:footnoteReference w:id="34"/>
      </w:r>
      <w:r w:rsidRPr="00F14B54">
        <w:rPr>
          <w:lang w:val="fr-FR"/>
        </w:rPr>
        <w:t>. Elle innerve la matière et est le corolaire de l’effet réel de la procédure</w:t>
      </w:r>
      <w:r w:rsidRPr="00F14B54">
        <w:rPr>
          <w:rStyle w:val="Marquenotebasdepage"/>
        </w:rPr>
        <w:footnoteReference w:id="35"/>
      </w:r>
      <w:r w:rsidRPr="00F14B54">
        <w:rPr>
          <w:lang w:val="fr-FR"/>
        </w:rPr>
        <w:t>. Si en sauvegarde, la répartition des pouvoirs entre l’administrateur judiciaire et le débiteur s’étend d’une surveillance à une cogestion</w:t>
      </w:r>
      <w:r w:rsidRPr="00F14B54">
        <w:rPr>
          <w:rStyle w:val="Marquenotebasdepage"/>
        </w:rPr>
        <w:footnoteReference w:id="36"/>
      </w:r>
      <w:r w:rsidRPr="00F14B54">
        <w:rPr>
          <w:lang w:val="fr-FR"/>
        </w:rPr>
        <w:t> ; en redressement judiciaire, d’une cogestion à une représentation</w:t>
      </w:r>
      <w:r w:rsidRPr="00F14B54">
        <w:rPr>
          <w:rStyle w:val="Marquenotebasdepage"/>
        </w:rPr>
        <w:footnoteReference w:id="37"/>
      </w:r>
      <w:r w:rsidRPr="00F14B54">
        <w:rPr>
          <w:lang w:val="fr-FR"/>
        </w:rPr>
        <w:t> ; en liquidation judiciaire, le débiteur en difficulté est entièrement dessaisi de ses droits sur son patrimoine, gage commun des créanciers de la collectivité saisissante</w:t>
      </w:r>
      <w:r w:rsidRPr="00F14B54">
        <w:rPr>
          <w:rStyle w:val="Marquenotebasdepage"/>
        </w:rPr>
        <w:footnoteReference w:id="38"/>
      </w:r>
      <w:r w:rsidRPr="00F14B54">
        <w:rPr>
          <w:lang w:val="fr-FR"/>
        </w:rPr>
        <w:t xml:space="preserve">. </w:t>
      </w:r>
    </w:p>
    <w:p w14:paraId="2F97D5D4" w14:textId="641E0C6D" w:rsidR="00D041FE" w:rsidRPr="00F14B54" w:rsidRDefault="00D041FE" w:rsidP="0069582B">
      <w:pPr>
        <w:tabs>
          <w:tab w:val="left" w:pos="3896"/>
        </w:tabs>
        <w:rPr>
          <w:lang w:val="fr-FR"/>
        </w:rPr>
      </w:pPr>
      <w:r w:rsidRPr="00F14B54">
        <w:rPr>
          <w:lang w:val="fr-FR"/>
        </w:rPr>
        <w:t>Le droit du travail est aussi un cas bien avéré de droit altéré pour les besoins de la restructuration des entreprises</w:t>
      </w:r>
      <w:r w:rsidRPr="00F14B54">
        <w:rPr>
          <w:rStyle w:val="Marquenotebasdepage"/>
        </w:rPr>
        <w:footnoteReference w:id="39"/>
      </w:r>
      <w:r w:rsidRPr="00F14B54">
        <w:rPr>
          <w:lang w:val="fr-FR"/>
        </w:rPr>
        <w:t>. Le droit des entreprises en difficulté est un droit plus que jamais ancré dans les réalités économiques et sociales du monde du travail</w:t>
      </w:r>
      <w:r w:rsidRPr="00F14B54">
        <w:rPr>
          <w:rStyle w:val="Marquenotebasdepage"/>
        </w:rPr>
        <w:footnoteReference w:id="40"/>
      </w:r>
      <w:r w:rsidRPr="00F14B54">
        <w:rPr>
          <w:lang w:val="fr-FR"/>
        </w:rPr>
        <w:t>. Les salariés sont, dans le cadre d’une procédure collective, des créanciers tout particuliers</w:t>
      </w:r>
      <w:r w:rsidRPr="00F14B54">
        <w:rPr>
          <w:rStyle w:val="Marquenotebasdepage"/>
        </w:rPr>
        <w:footnoteReference w:id="41"/>
      </w:r>
      <w:r w:rsidRPr="00F14B54">
        <w:rPr>
          <w:lang w:val="fr-FR"/>
        </w:rPr>
        <w:t>. Ils n’ont pas à déclarer leur créance salariale à la procédure et sont associés à celle-ci grâce à la nomination d’un représentant des salariés entendu par le tribunal dès l’ouverture de la procédure (et tenu informé durant tout son long)</w:t>
      </w:r>
      <w:r w:rsidRPr="00F14B54">
        <w:rPr>
          <w:rStyle w:val="Marquenotebasdepage"/>
        </w:rPr>
        <w:footnoteReference w:id="42"/>
      </w:r>
      <w:r w:rsidRPr="00F14B54">
        <w:rPr>
          <w:lang w:val="fr-FR"/>
        </w:rPr>
        <w:t>. Ils bénéficient également de l’AGS (le régime de garantie des salaires), mis en œuvre exclusivement dans le cadre d’une procédure collective</w:t>
      </w:r>
      <w:r w:rsidRPr="00F14B54">
        <w:rPr>
          <w:rStyle w:val="Marquenotebasdepage"/>
        </w:rPr>
        <w:footnoteReference w:id="43"/>
      </w:r>
      <w:r w:rsidRPr="00F14B54">
        <w:rPr>
          <w:lang w:val="fr-FR"/>
        </w:rPr>
        <w:t xml:space="preserve"> à l’instar d’un super privilège des salaires qui couvre les 60 derniers jours de travail effectués avant le jugement d’ouverture</w:t>
      </w:r>
      <w:r w:rsidRPr="00F14B54">
        <w:rPr>
          <w:rStyle w:val="Marquenotebasdepage"/>
        </w:rPr>
        <w:footnoteReference w:id="44"/>
      </w:r>
      <w:r w:rsidRPr="00F14B54">
        <w:rPr>
          <w:lang w:val="fr-FR"/>
        </w:rPr>
        <w:t>. La règle en matière de licenciement diffère quant à elle selon les procédures</w:t>
      </w:r>
      <w:r w:rsidRPr="00F14B54">
        <w:rPr>
          <w:rStyle w:val="Marquenotebasdepage"/>
        </w:rPr>
        <w:footnoteReference w:id="45"/>
      </w:r>
      <w:r w:rsidRPr="00F14B54">
        <w:rPr>
          <w:lang w:val="fr-FR"/>
        </w:rPr>
        <w:t>. Si en procédure de sauvegarde, le chef d’entreprise doit respecter la procédure de licenciement économique telle qu’elle est prévue par le Code du travail</w:t>
      </w:r>
      <w:r w:rsidRPr="00F14B54">
        <w:rPr>
          <w:rStyle w:val="Marquenotebasdepage"/>
        </w:rPr>
        <w:footnoteReference w:id="46"/>
      </w:r>
      <w:r w:rsidRPr="00F14B54">
        <w:rPr>
          <w:lang w:val="fr-FR"/>
        </w:rPr>
        <w:t xml:space="preserve">, en redressement judiciaire en revanche, les licenciements </w:t>
      </w:r>
      <w:r w:rsidRPr="00F14B54">
        <w:rPr>
          <w:lang w:val="fr-FR"/>
        </w:rPr>
        <w:lastRenderedPageBreak/>
        <w:t xml:space="preserve">sont admis par le juge commissaire quand ils sont </w:t>
      </w:r>
      <w:r w:rsidRPr="003B25B2">
        <w:rPr>
          <w:lang w:val="fr-FR"/>
        </w:rPr>
        <w:t>« urgents, inévitables et indispensables »</w:t>
      </w:r>
      <w:r w:rsidRPr="00F14B54">
        <w:rPr>
          <w:rStyle w:val="Marquenotebasdepage"/>
        </w:rPr>
        <w:footnoteReference w:id="47"/>
      </w:r>
      <w:r w:rsidRPr="00F14B54">
        <w:rPr>
          <w:lang w:val="fr-FR"/>
        </w:rPr>
        <w:t>. La procédure de liquidation judiciaire est la plus à même à justifier des licenciements, le principe étant la cessation d’activité</w:t>
      </w:r>
      <w:r w:rsidRPr="00F14B54">
        <w:rPr>
          <w:rStyle w:val="Marquenotebasdepage"/>
        </w:rPr>
        <w:footnoteReference w:id="48"/>
      </w:r>
      <w:r w:rsidRPr="00F14B54">
        <w:rPr>
          <w:lang w:val="fr-FR"/>
        </w:rPr>
        <w:t xml:space="preserve">. </w:t>
      </w:r>
    </w:p>
    <w:p w14:paraId="7A851DAB" w14:textId="3E291285" w:rsidR="00D041FE" w:rsidRPr="00F14B54" w:rsidRDefault="00D041FE" w:rsidP="0069582B">
      <w:pPr>
        <w:tabs>
          <w:tab w:val="left" w:pos="3896"/>
        </w:tabs>
        <w:rPr>
          <w:lang w:val="fr-FR"/>
        </w:rPr>
      </w:pPr>
      <w:r w:rsidRPr="00F14B54">
        <w:rPr>
          <w:lang w:val="fr-FR"/>
        </w:rPr>
        <w:t>Il en est de même en matière de droit des sociétés. Le droit des entreprises en difficulté modèle le droit des sociétés pour la sauvegarde de l’entreprise sociétaire, voire le maintient pleinement lorsque ses dispositions servent ses objectifs</w:t>
      </w:r>
      <w:r w:rsidRPr="00F14B54">
        <w:rPr>
          <w:rStyle w:val="Marquenotebasdepage"/>
        </w:rPr>
        <w:footnoteReference w:id="49"/>
      </w:r>
      <w:r w:rsidRPr="00F14B54">
        <w:rPr>
          <w:lang w:val="fr-FR"/>
        </w:rPr>
        <w:t>. L</w:t>
      </w:r>
      <w:r w:rsidR="00FD344C">
        <w:rPr>
          <w:lang w:val="fr-FR"/>
        </w:rPr>
        <w:t xml:space="preserve">es cessions de droits sociaux, </w:t>
      </w:r>
      <w:r w:rsidRPr="00F14B54">
        <w:rPr>
          <w:lang w:val="fr-FR"/>
        </w:rPr>
        <w:t>les augmentations et les réductions du capital, les fusions et scissions sont ainsi instrumentalisées. Lorsque celles-ci s</w:t>
      </w:r>
      <w:r w:rsidR="00EB4267" w:rsidRPr="00F14B54">
        <w:rPr>
          <w:lang w:val="fr-FR"/>
        </w:rPr>
        <w:t>’</w:t>
      </w:r>
      <w:r w:rsidRPr="00F14B54">
        <w:rPr>
          <w:lang w:val="fr-FR"/>
        </w:rPr>
        <w:t>avèrent insuffisantes, les techniques propres au droit des entreprises en difficulté prennent le relais pour permettre la réorganisation économique de l</w:t>
      </w:r>
      <w:r w:rsidR="00EB4267" w:rsidRPr="00F14B54">
        <w:rPr>
          <w:lang w:val="fr-FR"/>
        </w:rPr>
        <w:t>’</w:t>
      </w:r>
      <w:r w:rsidRPr="00F14B54">
        <w:rPr>
          <w:lang w:val="fr-FR"/>
        </w:rPr>
        <w:t>entreprise sociétaire ou sa restructuration financière. Les relations entre le droit des sociétés et le droit des entreprises en difficulté se résument très classiquement à des conflits pouvant être résolus en faisant prévaloir le «</w:t>
      </w:r>
      <w:r w:rsidR="00EB4267" w:rsidRPr="00F14B54">
        <w:rPr>
          <w:lang w:val="fr-FR"/>
        </w:rPr>
        <w:t> </w:t>
      </w:r>
      <w:r w:rsidRPr="00F14B54">
        <w:rPr>
          <w:lang w:val="fr-FR"/>
        </w:rPr>
        <w:t>droit spécial</w:t>
      </w:r>
      <w:r w:rsidR="00EB4267" w:rsidRPr="00F14B54">
        <w:rPr>
          <w:lang w:val="fr-FR"/>
        </w:rPr>
        <w:t> </w:t>
      </w:r>
      <w:r w:rsidRPr="00F14B54">
        <w:rPr>
          <w:lang w:val="fr-FR"/>
        </w:rPr>
        <w:t>» des entreprises en difficulté sur le «</w:t>
      </w:r>
      <w:r w:rsidR="00EB4267" w:rsidRPr="00F14B54">
        <w:rPr>
          <w:lang w:val="fr-FR"/>
        </w:rPr>
        <w:t> </w:t>
      </w:r>
      <w:r w:rsidRPr="00F14B54">
        <w:rPr>
          <w:lang w:val="fr-FR"/>
        </w:rPr>
        <w:t>droit commun</w:t>
      </w:r>
      <w:r w:rsidR="00EB4267" w:rsidRPr="00F14B54">
        <w:rPr>
          <w:lang w:val="fr-FR"/>
        </w:rPr>
        <w:t> </w:t>
      </w:r>
      <w:r w:rsidRPr="00F14B54">
        <w:rPr>
          <w:lang w:val="fr-FR"/>
        </w:rPr>
        <w:t>» des sociétés, même si leurs relations en droit positif s’avèrent bien plus subtiles et plus complexes</w:t>
      </w:r>
      <w:r w:rsidRPr="00F14B54">
        <w:rPr>
          <w:rStyle w:val="Marquenotebasdepage"/>
        </w:rPr>
        <w:footnoteReference w:id="50"/>
      </w:r>
      <w:r w:rsidRPr="00F14B54">
        <w:rPr>
          <w:lang w:val="fr-FR"/>
        </w:rPr>
        <w:t>. Une synergie existe entre ces deux matières lors du règlement à l’amiable des difficultés, tandis qu’une véritable soumission du droit des sociétés au droit des entreprises en difficulté peut être constatée lors du règlement judiciaire des difficultés</w:t>
      </w:r>
      <w:r w:rsidRPr="00F14B54">
        <w:rPr>
          <w:rStyle w:val="Marquenotebasdepage"/>
        </w:rPr>
        <w:footnoteReference w:id="51"/>
      </w:r>
      <w:r w:rsidRPr="00F14B54">
        <w:rPr>
          <w:lang w:val="fr-FR"/>
        </w:rPr>
        <w:t>. La théorie de l’écran de la personne morale, immatriculée au registre du commerce et des sociétés, dotée d’un patrimoine propre, seul gage des créanciers sociaux, permettant ainsi de protéger le patrimoine personnel des associés et du dirigeant, s’efface à plusieurs reprises à l’épreuve des règles du Livre</w:t>
      </w:r>
      <w:r w:rsidR="00EB4267" w:rsidRPr="00F14B54">
        <w:rPr>
          <w:lang w:val="fr-FR"/>
        </w:rPr>
        <w:t> </w:t>
      </w:r>
      <w:r w:rsidRPr="00F14B54">
        <w:rPr>
          <w:lang w:val="fr-FR"/>
        </w:rPr>
        <w:t>VI du Code de commerce</w:t>
      </w:r>
      <w:r w:rsidRPr="00F14B54">
        <w:rPr>
          <w:rStyle w:val="Marquenotebasdepage"/>
        </w:rPr>
        <w:footnoteReference w:id="52"/>
      </w:r>
      <w:r w:rsidRPr="00F14B54">
        <w:rPr>
          <w:lang w:val="fr-FR"/>
        </w:rPr>
        <w:t>. A l’occasion d’une extension de procédure collective pour confusion des patrimoines</w:t>
      </w:r>
      <w:r w:rsidRPr="00F14B54">
        <w:rPr>
          <w:rStyle w:val="Marquenotebasdepage"/>
        </w:rPr>
        <w:footnoteReference w:id="53"/>
      </w:r>
      <w:r w:rsidRPr="00F14B54">
        <w:rPr>
          <w:lang w:val="fr-FR"/>
        </w:rPr>
        <w:t>, la procédure collective ouverte à l’encontre d’une société est étendue à une autre : les actifs et les passifs des deux sociétés sont soumis à une seule et unique procédure, les personnes morales s’effaçant presque au profit des impératifs de la procédure</w:t>
      </w:r>
      <w:r w:rsidRPr="00F14B54">
        <w:rPr>
          <w:rStyle w:val="Marquenotebasdepage"/>
        </w:rPr>
        <w:footnoteReference w:id="54"/>
      </w:r>
      <w:r w:rsidRPr="00F14B54">
        <w:rPr>
          <w:lang w:val="fr-FR"/>
        </w:rPr>
        <w:t>. Egalement, à l’occasion d’une procédure liquidative, le dirigeant ayant commis la faute de gestion à l’origine de l’insuffisance d’actif, s’oblige à acquitter le montant des créances sociales impayées</w:t>
      </w:r>
      <w:r w:rsidRPr="00F14B54">
        <w:rPr>
          <w:rStyle w:val="Marquenotebasdepage"/>
        </w:rPr>
        <w:footnoteReference w:id="55"/>
      </w:r>
      <w:r w:rsidRPr="00F14B54">
        <w:rPr>
          <w:lang w:val="fr-FR"/>
        </w:rPr>
        <w:t xml:space="preserve">. </w:t>
      </w:r>
    </w:p>
    <w:p w14:paraId="4C41CFC4" w14:textId="6C24B9C9" w:rsidR="00D041FE" w:rsidRPr="00F14B54" w:rsidRDefault="00D041FE" w:rsidP="0069582B">
      <w:pPr>
        <w:tabs>
          <w:tab w:val="left" w:pos="3896"/>
        </w:tabs>
        <w:rPr>
          <w:highlight w:val="red"/>
          <w:lang w:val="fr-FR"/>
        </w:rPr>
      </w:pPr>
      <w:r w:rsidRPr="00F14B54">
        <w:rPr>
          <w:lang w:val="fr-FR"/>
        </w:rPr>
        <w:lastRenderedPageBreak/>
        <w:t>Par ailleurs, l’altération des droits des créanciers est au fondement même de toute la mécanique des procédures collectives</w:t>
      </w:r>
      <w:r w:rsidRPr="00F14B54">
        <w:rPr>
          <w:rStyle w:val="Marquenotebasdepage"/>
        </w:rPr>
        <w:footnoteReference w:id="56"/>
      </w:r>
      <w:r w:rsidRPr="00F14B54">
        <w:rPr>
          <w:lang w:val="fr-FR"/>
        </w:rPr>
        <w:t>. La procédure collective, qui est une vaste saisie collective, porte traditionnellement atteinte au droit des procédures civiles d’exécution de droit commun et met en place une véritable discipline collective</w:t>
      </w:r>
      <w:r w:rsidRPr="00F14B54">
        <w:rPr>
          <w:rStyle w:val="Marquenotebasdepage"/>
        </w:rPr>
        <w:footnoteReference w:id="57"/>
      </w:r>
      <w:r w:rsidR="00C85A84">
        <w:rPr>
          <w:lang w:val="fr-FR"/>
        </w:rPr>
        <w:t xml:space="preserve">. </w:t>
      </w:r>
      <w:r w:rsidRPr="00F14B54">
        <w:rPr>
          <w:lang w:val="fr-FR"/>
        </w:rPr>
        <w:t>Son ouverture entraine l’arrêt et l’interdiction des poursuites individuelles</w:t>
      </w:r>
      <w:r w:rsidRPr="00F14B54">
        <w:rPr>
          <w:rStyle w:val="Marquenotebasdepage"/>
        </w:rPr>
        <w:footnoteReference w:id="58"/>
      </w:r>
      <w:r w:rsidRPr="00F14B54">
        <w:rPr>
          <w:lang w:val="fr-FR"/>
        </w:rPr>
        <w:t>. Les actions en cours sont arrêtées et les actions en paiement et en résolution pour non paiement non encore exercées sont interdites. Il en est de même pour les voies d’exécution, et ce, quel que soit leur état d’avancement. Grâce à ce principe, toutes les actions sont concentrées entre les mains du mandataire judiciaire et la période d’observation peut jouer tout son rôle en permettant au débiteur de reconstituer sa trésorerie pendant que les organes de la procédure préparent un plan de restructuration. L</w:t>
      </w:r>
      <w:r w:rsidR="00EB4267" w:rsidRPr="00F14B54">
        <w:rPr>
          <w:lang w:val="fr-FR"/>
        </w:rPr>
        <w:t>’</w:t>
      </w:r>
      <w:r w:rsidRPr="00F14B54">
        <w:rPr>
          <w:lang w:val="fr-FR"/>
        </w:rPr>
        <w:t>arrêt des poursuites est une règle qui s</w:t>
      </w:r>
      <w:r w:rsidR="00EB4267" w:rsidRPr="00F14B54">
        <w:rPr>
          <w:lang w:val="fr-FR"/>
        </w:rPr>
        <w:t>’</w:t>
      </w:r>
      <w:r w:rsidRPr="00F14B54">
        <w:rPr>
          <w:lang w:val="fr-FR"/>
        </w:rPr>
        <w:t>impose aux créanciers, à l’instar de son corol</w:t>
      </w:r>
      <w:r w:rsidR="00D61144">
        <w:rPr>
          <w:lang w:val="fr-FR"/>
        </w:rPr>
        <w:t>l</w:t>
      </w:r>
      <w:r w:rsidRPr="00F14B54">
        <w:rPr>
          <w:lang w:val="fr-FR"/>
        </w:rPr>
        <w:t>aire, s’imposant au débiteur, le principe d’interdiction des paiements</w:t>
      </w:r>
      <w:r w:rsidRPr="00F14B54">
        <w:rPr>
          <w:rStyle w:val="Marquenotebasdepage"/>
        </w:rPr>
        <w:footnoteReference w:id="59"/>
      </w:r>
      <w:r w:rsidR="009646BA">
        <w:rPr>
          <w:lang w:val="fr-FR"/>
        </w:rPr>
        <w:t xml:space="preserve">. </w:t>
      </w:r>
      <w:r w:rsidRPr="00F14B54">
        <w:rPr>
          <w:lang w:val="fr-FR"/>
        </w:rPr>
        <w:t>Le droit des créanciers s’exprimant collectivement, une fois la créance déclarée, c</w:t>
      </w:r>
      <w:r w:rsidR="00EB4267" w:rsidRPr="00F14B54">
        <w:rPr>
          <w:lang w:val="fr-FR"/>
        </w:rPr>
        <w:t>’</w:t>
      </w:r>
      <w:r w:rsidRPr="00F14B54">
        <w:rPr>
          <w:lang w:val="fr-FR"/>
        </w:rPr>
        <w:t>est collectivement que le traitement s</w:t>
      </w:r>
      <w:r w:rsidR="00EB4267" w:rsidRPr="00F14B54">
        <w:rPr>
          <w:lang w:val="fr-FR"/>
        </w:rPr>
        <w:t>’</w:t>
      </w:r>
      <w:r w:rsidRPr="00F14B54">
        <w:rPr>
          <w:lang w:val="fr-FR"/>
        </w:rPr>
        <w:t>effectuera, dans le cadre d</w:t>
      </w:r>
      <w:r w:rsidR="00EB4267" w:rsidRPr="00F14B54">
        <w:rPr>
          <w:lang w:val="fr-FR"/>
        </w:rPr>
        <w:t>’</w:t>
      </w:r>
      <w:r w:rsidRPr="00F14B54">
        <w:rPr>
          <w:lang w:val="fr-FR"/>
        </w:rPr>
        <w:t>un plan de sauvegarde ou de redressement ou encore d</w:t>
      </w:r>
      <w:r w:rsidR="00EB4267" w:rsidRPr="00F14B54">
        <w:rPr>
          <w:lang w:val="fr-FR"/>
        </w:rPr>
        <w:t>’</w:t>
      </w:r>
      <w:r w:rsidRPr="00F14B54">
        <w:rPr>
          <w:lang w:val="fr-FR"/>
        </w:rPr>
        <w:t>une liquidation judiciaire</w:t>
      </w:r>
      <w:r w:rsidRPr="00F14B54">
        <w:rPr>
          <w:rStyle w:val="Marquenotebasdepage"/>
        </w:rPr>
        <w:footnoteReference w:id="60"/>
      </w:r>
      <w:r w:rsidRPr="00F14B54">
        <w:rPr>
          <w:lang w:val="fr-FR"/>
        </w:rPr>
        <w:t xml:space="preserve">. </w:t>
      </w:r>
    </w:p>
    <w:p w14:paraId="25034C0A" w14:textId="3B537331" w:rsidR="00D041FE" w:rsidRPr="00F14B54" w:rsidRDefault="00D041FE" w:rsidP="0069582B">
      <w:pPr>
        <w:tabs>
          <w:tab w:val="left" w:pos="3896"/>
        </w:tabs>
        <w:rPr>
          <w:lang w:val="fr-FR"/>
        </w:rPr>
      </w:pPr>
      <w:r w:rsidRPr="00F14B54">
        <w:rPr>
          <w:lang w:val="fr-FR"/>
        </w:rPr>
        <w:t>L’atteinte à la force obligatoire des contrats et à la liberté contractuelle est également monnaie courante en droit des entreprises en difficulté</w:t>
      </w:r>
      <w:r w:rsidRPr="00F14B54">
        <w:rPr>
          <w:rStyle w:val="Marquenotebasdepage"/>
        </w:rPr>
        <w:footnoteReference w:id="61"/>
      </w:r>
      <w:r w:rsidRPr="00F14B54">
        <w:rPr>
          <w:lang w:val="fr-FR"/>
        </w:rPr>
        <w:t xml:space="preserve"> et les exemples sont nombreux. Parmi eux, la poursuite des contrats en cours à la date du jugement d’ouverture</w:t>
      </w:r>
      <w:r w:rsidRPr="00F14B54">
        <w:rPr>
          <w:rStyle w:val="Marquenotebasdepage"/>
        </w:rPr>
        <w:footnoteReference w:id="62"/>
      </w:r>
      <w:r w:rsidRPr="00F14B54">
        <w:rPr>
          <w:lang w:val="fr-FR"/>
        </w:rPr>
        <w:t> ; la cession judiciaire des contrats à l’occasion d’une offre de reprise d’une entreprise en liquidation judicaire</w:t>
      </w:r>
      <w:r w:rsidRPr="00F14B54">
        <w:rPr>
          <w:rStyle w:val="Marquenotebasdepage"/>
        </w:rPr>
        <w:footnoteReference w:id="63"/>
      </w:r>
      <w:r w:rsidRPr="00F14B54">
        <w:rPr>
          <w:lang w:val="fr-FR"/>
        </w:rPr>
        <w:t xml:space="preserve"> ; les </w:t>
      </w:r>
      <w:r w:rsidRPr="00F14B54">
        <w:rPr>
          <w:lang w:val="fr-FR"/>
        </w:rPr>
        <w:lastRenderedPageBreak/>
        <w:t>nullités de la période suspecte</w:t>
      </w:r>
      <w:r w:rsidRPr="00F14B54">
        <w:rPr>
          <w:rStyle w:val="Marquenotebasdepage"/>
        </w:rPr>
        <w:footnoteReference w:id="64"/>
      </w:r>
      <w:r w:rsidRPr="00F14B54">
        <w:rPr>
          <w:lang w:val="fr-FR"/>
        </w:rPr>
        <w:t xml:space="preserve"> et la sanction de l’inopposabilité à la procédure de la créance non déclarée</w:t>
      </w:r>
      <w:r w:rsidRPr="00F14B54">
        <w:rPr>
          <w:rStyle w:val="Marquenotebasdepage"/>
        </w:rPr>
        <w:footnoteReference w:id="65"/>
      </w:r>
      <w:r w:rsidRPr="00F14B54">
        <w:rPr>
          <w:lang w:val="fr-FR"/>
        </w:rPr>
        <w:t>. La règle de la non reprise des poursuites individuelles à la clôture de la liquidation judiciaire pour insuffisance d’actif</w:t>
      </w:r>
      <w:r w:rsidRPr="00F14B54">
        <w:rPr>
          <w:rStyle w:val="Marquenotebasdepage"/>
        </w:rPr>
        <w:footnoteReference w:id="66"/>
      </w:r>
      <w:r w:rsidRPr="00F14B54">
        <w:rPr>
          <w:lang w:val="fr-FR"/>
        </w:rPr>
        <w:t> fait en outre véritablement office d’un droit de ne pas payer ses dettes</w:t>
      </w:r>
      <w:r w:rsidRPr="00F14B54">
        <w:rPr>
          <w:rStyle w:val="Marquenotebasdepage"/>
        </w:rPr>
        <w:footnoteReference w:id="67"/>
      </w:r>
      <w:r w:rsidRPr="00F14B54">
        <w:rPr>
          <w:lang w:val="fr-FR"/>
        </w:rPr>
        <w:t xml:space="preserve"> et l’exigibilité des créances au jour de l’ouverture d’une liquidation judiciaire est une atteinte à la règle selon laquelle nul ne peut contraindre le débiteur à renoncer au bénéfice du terme</w:t>
      </w:r>
      <w:r w:rsidRPr="00F14B54">
        <w:rPr>
          <w:rStyle w:val="Marquenotebasdepage"/>
        </w:rPr>
        <w:footnoteReference w:id="68"/>
      </w:r>
      <w:r w:rsidRPr="00F14B54">
        <w:rPr>
          <w:lang w:val="fr-FR"/>
        </w:rPr>
        <w:t>. Enfin, tous les délais de paiement, les remises de dettes et les abandons de sûretés accordés au moment de l’adoption d’un plan de sauvegarde ou de redressement judiciaire</w:t>
      </w:r>
      <w:r w:rsidRPr="00F14B54">
        <w:rPr>
          <w:rStyle w:val="Marquenotebasdepage"/>
        </w:rPr>
        <w:footnoteReference w:id="69"/>
      </w:r>
      <w:r w:rsidRPr="00F14B54">
        <w:rPr>
          <w:lang w:val="fr-FR"/>
        </w:rPr>
        <w:t xml:space="preserve"> attestent de cette indubitable atteinte à la force obligatoire des contrats.  </w:t>
      </w:r>
    </w:p>
    <w:p w14:paraId="1651272B" w14:textId="355BC14F" w:rsidR="005C0C85" w:rsidRDefault="00D041FE" w:rsidP="00D041FE">
      <w:pPr>
        <w:pStyle w:val="Sansinterligne"/>
        <w:rPr>
          <w:lang w:val="fr-FR"/>
        </w:rPr>
      </w:pPr>
      <w:r w:rsidRPr="00F14B54">
        <w:rPr>
          <w:i/>
          <w:lang w:val="fr-FR"/>
        </w:rPr>
        <w:t>Last but not least</w:t>
      </w:r>
      <w:r w:rsidRPr="00F14B54">
        <w:rPr>
          <w:lang w:val="fr-FR"/>
        </w:rPr>
        <w:t>, le droit des sûretés est la discipline sans conteste la plus mise à l’épreuve par le droit des entreprises en difficulté</w:t>
      </w:r>
      <w:r w:rsidRPr="00F14B54">
        <w:rPr>
          <w:rStyle w:val="Marquenotebasdepage"/>
        </w:rPr>
        <w:footnoteReference w:id="70"/>
      </w:r>
      <w:r w:rsidRPr="00F14B54">
        <w:rPr>
          <w:lang w:val="fr-FR"/>
        </w:rPr>
        <w:t>.</w:t>
      </w:r>
      <w:r w:rsidRPr="00F14B54">
        <w:rPr>
          <w:i/>
          <w:lang w:val="fr-FR"/>
        </w:rPr>
        <w:t xml:space="preserve"> </w:t>
      </w:r>
      <w:r w:rsidRPr="00F14B54">
        <w:rPr>
          <w:lang w:val="fr-FR"/>
        </w:rPr>
        <w:t xml:space="preserve">Les règles de droit des sûretés ont vocation à s’appliquer au jour de l’ouverture d’une procédure collective puisque les sûretés </w:t>
      </w:r>
      <w:r w:rsidRPr="00F14B54">
        <w:rPr>
          <w:lang w:val="fr-FR"/>
        </w:rPr>
        <w:lastRenderedPageBreak/>
        <w:t>n’existent que pour garantir la défaillance d’un cocontractant</w:t>
      </w:r>
      <w:r w:rsidRPr="00F14B54">
        <w:rPr>
          <w:rStyle w:val="Marquenotebasdepage"/>
        </w:rPr>
        <w:footnoteReference w:id="71"/>
      </w:r>
      <w:r w:rsidRPr="00F14B54">
        <w:rPr>
          <w:lang w:val="fr-FR"/>
        </w:rPr>
        <w:t>. Pourtant, la règle de l’arrêt des poursuites individuelles déjà énoncée</w:t>
      </w:r>
      <w:r w:rsidRPr="00F14B54">
        <w:rPr>
          <w:rStyle w:val="Marquenotebasdepage"/>
        </w:rPr>
        <w:footnoteReference w:id="72"/>
      </w:r>
      <w:r w:rsidRPr="00F14B54">
        <w:rPr>
          <w:lang w:val="fr-FR"/>
        </w:rPr>
        <w:t>, vient faire perdre toute leur efficacité aux sûretés réelles dites « classiques »</w:t>
      </w:r>
      <w:r w:rsidRPr="00F14B54">
        <w:rPr>
          <w:rStyle w:val="Marquenotebasdepage"/>
        </w:rPr>
        <w:footnoteReference w:id="73"/>
      </w:r>
      <w:r w:rsidRPr="00F14B54">
        <w:rPr>
          <w:lang w:val="fr-FR"/>
        </w:rPr>
        <w:t>, les propriétés-sûretés étant quant à elles, par exception, non soumises à la suspension des poursuites, en raison d’un droit réel exclusif qu’elles confèrent à leur titulaire et du fait que le bien est sorti du patrimoine du débiteur</w:t>
      </w:r>
      <w:r w:rsidRPr="00F14B54">
        <w:rPr>
          <w:rStyle w:val="Marquenotebasdepage"/>
        </w:rPr>
        <w:footnoteReference w:id="74"/>
      </w:r>
      <w:r w:rsidRPr="00F14B54">
        <w:rPr>
          <w:lang w:val="fr-FR"/>
        </w:rPr>
        <w:t>. Ces sûretés qui se veulent être « efficaces » à l’épreuve du droit des entreprises en difficulté, qui résistent à la procédure collective</w:t>
      </w:r>
      <w:r w:rsidRPr="00F14B54">
        <w:rPr>
          <w:rStyle w:val="Marquenotebasdepage"/>
        </w:rPr>
        <w:footnoteReference w:id="75"/>
      </w:r>
      <w:r w:rsidRPr="00F14B54">
        <w:rPr>
          <w:lang w:val="fr-FR"/>
        </w:rPr>
        <w:t>, telle que la « reine » d’entres elles, la fiducie-sûreté</w:t>
      </w:r>
      <w:r w:rsidRPr="00F14B54">
        <w:rPr>
          <w:rStyle w:val="Marquenotebasdepage"/>
        </w:rPr>
        <w:footnoteReference w:id="76"/>
      </w:r>
      <w:r w:rsidRPr="00F14B54">
        <w:rPr>
          <w:lang w:val="fr-FR"/>
        </w:rPr>
        <w:t>, mais aussi la clause de réserve de propriété</w:t>
      </w:r>
      <w:r w:rsidRPr="00F14B54">
        <w:rPr>
          <w:rStyle w:val="Marquenotebasdepage"/>
        </w:rPr>
        <w:footnoteReference w:id="77"/>
      </w:r>
      <w:r w:rsidRPr="00F14B54">
        <w:rPr>
          <w:lang w:val="fr-FR"/>
        </w:rPr>
        <w:t xml:space="preserve"> ou encore la cession de créances à titre de garantie par bordereau Dailly</w:t>
      </w:r>
      <w:r w:rsidRPr="00F14B54">
        <w:rPr>
          <w:rStyle w:val="Marquenotebasdepage"/>
        </w:rPr>
        <w:footnoteReference w:id="78"/>
      </w:r>
      <w:r w:rsidRPr="00F14B54">
        <w:rPr>
          <w:lang w:val="fr-FR"/>
        </w:rPr>
        <w:t>, trouvent cependant leur limite</w:t>
      </w:r>
      <w:r w:rsidRPr="00F14B54">
        <w:rPr>
          <w:rStyle w:val="Marquenotebasdepage"/>
        </w:rPr>
        <w:footnoteReference w:id="79"/>
      </w:r>
      <w:r w:rsidRPr="00F14B54">
        <w:rPr>
          <w:lang w:val="fr-FR"/>
        </w:rPr>
        <w:t>. Quant aux sûretés personnelles, là aussi, le droit des entreprises en difficulté vient porter atteinte aux contrats de cautionnement, de garantie autonome ou de sûreté réelle pour autrui</w:t>
      </w:r>
      <w:r w:rsidRPr="00F14B54">
        <w:rPr>
          <w:rStyle w:val="Marquenotebasdepage"/>
        </w:rPr>
        <w:footnoteReference w:id="80"/>
      </w:r>
      <w:r w:rsidR="0069582B" w:rsidRPr="00F14B54">
        <w:rPr>
          <w:lang w:val="fr-FR"/>
        </w:rPr>
        <w:t>.</w:t>
      </w:r>
    </w:p>
    <w:p w14:paraId="1C13BB8F" w14:textId="77777777" w:rsidR="005C0C85" w:rsidRDefault="005C0C85">
      <w:pPr>
        <w:jc w:val="left"/>
        <w:rPr>
          <w:lang w:val="fr-FR"/>
        </w:rPr>
      </w:pPr>
      <w:r>
        <w:rPr>
          <w:lang w:val="fr-FR"/>
        </w:rPr>
        <w:br w:type="page"/>
      </w:r>
    </w:p>
    <w:p w14:paraId="2557D38E" w14:textId="77777777" w:rsidR="00EB4267" w:rsidRPr="00F14B54" w:rsidRDefault="00EB4267" w:rsidP="00D041FE">
      <w:pPr>
        <w:pStyle w:val="Sansinterligne"/>
        <w:rPr>
          <w:lang w:val="fr-FR"/>
        </w:rPr>
      </w:pPr>
    </w:p>
    <w:sectPr w:rsidR="00EB4267" w:rsidRPr="00F14B54" w:rsidSect="005C0C85">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15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0140" w14:textId="77777777" w:rsidR="00704A68" w:rsidRDefault="00704A68" w:rsidP="008508B6">
      <w:r>
        <w:separator/>
      </w:r>
    </w:p>
  </w:endnote>
  <w:endnote w:type="continuationSeparator" w:id="0">
    <w:p w14:paraId="4CFCE729" w14:textId="77777777" w:rsidR="00704A68" w:rsidRDefault="00704A68"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Apple Garamond">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C9B" w14:textId="77777777" w:rsidR="00704A68" w:rsidRDefault="00704A68"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704A68" w:rsidRDefault="00704A68"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67515" w14:textId="1C8F9591" w:rsidR="00704A68" w:rsidRPr="00687E5A" w:rsidRDefault="00704A6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E168A">
      <w:rPr>
        <w:rStyle w:val="Numrodepage"/>
        <w:noProof/>
      </w:rPr>
      <w:t>162</w:t>
    </w:r>
    <w:r w:rsidRPr="00687E5A">
      <w:rPr>
        <w:rStyle w:val="Numrodepage"/>
      </w:rPr>
      <w:fldChar w:fldCharType="end"/>
    </w:r>
    <w:r>
      <w:rPr>
        <w:rStyle w:val="Numrodepage"/>
      </w:rPr>
      <w:t xml:space="preserve"> –</w:t>
    </w:r>
  </w:p>
  <w:p w14:paraId="365A8967" w14:textId="76D2E5AE" w:rsidR="00704A68" w:rsidRPr="008C718B" w:rsidRDefault="00704A68" w:rsidP="00614422">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407918D7" w14:textId="267397C9" w:rsidR="00704A68" w:rsidRPr="00097788" w:rsidRDefault="002E168A" w:rsidP="00614422">
    <w:pPr>
      <w:pStyle w:val="Pieddepage"/>
      <w:jc w:val="center"/>
      <w:rPr>
        <w:i/>
        <w:color w:val="0070C0"/>
        <w:sz w:val="16"/>
        <w:szCs w:val="16"/>
      </w:rPr>
    </w:pPr>
    <w:hyperlink r:id="rId1" w:history="1">
      <w:r w:rsidR="00704A68" w:rsidRPr="00B37D89">
        <w:rPr>
          <w:rStyle w:val="Lienhypertexte"/>
          <w:i/>
          <w:sz w:val="16"/>
          <w:szCs w:val="16"/>
        </w:rPr>
        <w:t>http://ojs.imodev.org/index.php/IJIL</w:t>
      </w:r>
    </w:hyperlink>
    <w:r w:rsidR="00704A68">
      <w:rPr>
        <w:i/>
        <w:sz w:val="16"/>
        <w:szCs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2487" w14:textId="251CA05B" w:rsidR="00704A68" w:rsidRPr="00687E5A" w:rsidRDefault="00704A6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E168A">
      <w:rPr>
        <w:rStyle w:val="Numrodepage"/>
        <w:noProof/>
      </w:rPr>
      <w:t>153</w:t>
    </w:r>
    <w:r w:rsidRPr="00687E5A">
      <w:rPr>
        <w:rStyle w:val="Numrodepage"/>
      </w:rPr>
      <w:fldChar w:fldCharType="end"/>
    </w:r>
    <w:r>
      <w:rPr>
        <w:rStyle w:val="Numrodepage"/>
      </w:rPr>
      <w:t xml:space="preserve"> –</w:t>
    </w:r>
  </w:p>
  <w:p w14:paraId="59060A3C" w14:textId="35B513A6" w:rsidR="00704A68" w:rsidRPr="008C718B" w:rsidRDefault="00704A68" w:rsidP="00097788">
    <w:pPr>
      <w:pStyle w:val="Pieddepage"/>
      <w:jc w:val="center"/>
      <w:rPr>
        <w:b/>
        <w:color w:val="0070C0"/>
        <w:sz w:val="16"/>
        <w:szCs w:val="16"/>
      </w:rPr>
    </w:pPr>
    <w:r w:rsidRPr="008C718B">
      <w:rPr>
        <w:b/>
        <w:color w:val="0070C0"/>
        <w:sz w:val="16"/>
        <w:szCs w:val="16"/>
      </w:rPr>
      <w:t xml:space="preserve">International Journal </w:t>
    </w:r>
    <w:r>
      <w:rPr>
        <w:b/>
        <w:color w:val="0070C0"/>
        <w:sz w:val="16"/>
        <w:szCs w:val="16"/>
      </w:rPr>
      <w:t xml:space="preserve">on Insolvency Law [2017 – </w:t>
    </w:r>
    <w:proofErr w:type="spellStart"/>
    <w:r>
      <w:rPr>
        <w:b/>
        <w:color w:val="0070C0"/>
        <w:sz w:val="16"/>
        <w:szCs w:val="16"/>
      </w:rPr>
      <w:t>Vol</w:t>
    </w:r>
    <w:proofErr w:type="spellEnd"/>
    <w:r>
      <w:rPr>
        <w:b/>
        <w:color w:val="0070C0"/>
        <w:sz w:val="16"/>
        <w:szCs w:val="16"/>
      </w:rPr>
      <w:t xml:space="preserve"> 1]</w:t>
    </w:r>
  </w:p>
  <w:p w14:paraId="5352BE35" w14:textId="0099A0A5" w:rsidR="00704A68" w:rsidRPr="00C320DC" w:rsidRDefault="002E168A" w:rsidP="00C320DC">
    <w:pPr>
      <w:pStyle w:val="Pieddepage"/>
      <w:jc w:val="center"/>
      <w:rPr>
        <w:i/>
        <w:sz w:val="16"/>
        <w:szCs w:val="16"/>
      </w:rPr>
    </w:pPr>
    <w:hyperlink r:id="rId1" w:history="1">
      <w:r w:rsidR="00704A68" w:rsidRPr="00F101B4">
        <w:rPr>
          <w:rStyle w:val="Lienhypertexte"/>
          <w:i/>
          <w:sz w:val="16"/>
          <w:szCs w:val="16"/>
        </w:rPr>
        <w:t>http://ojs.imodev.org/index.php/IJIL</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B9FB" w14:textId="77777777" w:rsidR="00704A68" w:rsidRDefault="00704A68" w:rsidP="008508B6">
      <w:r>
        <w:separator/>
      </w:r>
    </w:p>
  </w:footnote>
  <w:footnote w:type="continuationSeparator" w:id="0">
    <w:p w14:paraId="63BE4DC5" w14:textId="77777777" w:rsidR="00704A68" w:rsidRDefault="00704A68" w:rsidP="008508B6">
      <w:r>
        <w:continuationSeparator/>
      </w:r>
    </w:p>
  </w:footnote>
  <w:footnote w:id="1">
    <w:p w14:paraId="413B6BC7"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L’expression de « droit des faillites » évoque l’idée de spoliation, d’appauvrissement, d’accaparement ou encore, de tromperie : le commerçant qui ne paie pas ses créanciers trompe en effet leur confiance en ne respectant pas ses engagements.</w:t>
      </w:r>
    </w:p>
  </w:footnote>
  <w:footnote w:id="2">
    <w:p w14:paraId="1FA29374" w14:textId="3E62A19D"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en ce sens</w:t>
      </w:r>
      <w:r>
        <w:rPr>
          <w:szCs w:val="18"/>
          <w:lang w:val="fr-FR"/>
        </w:rPr>
        <w:t>,</w:t>
      </w:r>
      <w:r w:rsidRPr="00F14B54">
        <w:rPr>
          <w:szCs w:val="18"/>
          <w:lang w:val="fr-FR"/>
        </w:rPr>
        <w:t xml:space="preserve"> F-X. </w:t>
      </w:r>
      <w:r w:rsidRPr="00F14B54">
        <w:rPr>
          <w:smallCaps/>
          <w:szCs w:val="18"/>
          <w:lang w:val="fr-FR"/>
        </w:rPr>
        <w:t>Lucas</w:t>
      </w:r>
      <w:r w:rsidRPr="00F14B54">
        <w:rPr>
          <w:i/>
          <w:szCs w:val="18"/>
          <w:lang w:val="fr-FR"/>
        </w:rPr>
        <w:t xml:space="preserve"> in</w:t>
      </w:r>
      <w:r w:rsidRPr="00F14B54">
        <w:rPr>
          <w:szCs w:val="18"/>
          <w:lang w:val="fr-FR"/>
        </w:rPr>
        <w:t xml:space="preserve"> </w:t>
      </w:r>
      <w:r w:rsidRPr="00F14B54">
        <w:rPr>
          <w:i/>
          <w:szCs w:val="18"/>
          <w:lang w:val="fr-FR"/>
        </w:rPr>
        <w:t>Manuel de droit de la faillite</w:t>
      </w:r>
      <w:r w:rsidRPr="00F14B54">
        <w:rPr>
          <w:szCs w:val="18"/>
          <w:lang w:val="fr-FR"/>
        </w:rPr>
        <w:t>, Presses Universitaires de France (P.U.F), Collection Droit fondamental, 1</w:t>
      </w:r>
      <w:r w:rsidRPr="00F14B54">
        <w:rPr>
          <w:szCs w:val="18"/>
          <w:vertAlign w:val="superscript"/>
          <w:lang w:val="fr-FR"/>
        </w:rPr>
        <w:t>ère</w:t>
      </w:r>
      <w:r w:rsidRPr="00F14B54">
        <w:rPr>
          <w:szCs w:val="18"/>
          <w:lang w:val="fr-FR"/>
        </w:rPr>
        <w:t xml:space="preserve"> édition, Novembre 2016.</w:t>
      </w:r>
    </w:p>
  </w:footnote>
  <w:footnote w:id="3">
    <w:p w14:paraId="3AFF7AAB" w14:textId="0359DBA5"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w:t>
      </w:r>
      <w:r w:rsidRPr="00F14B54">
        <w:rPr>
          <w:bCs/>
          <w:sz w:val="18"/>
          <w:szCs w:val="18"/>
          <w:lang w:val="fr-FR"/>
        </w:rPr>
        <w:t xml:space="preserve">Voir </w:t>
      </w:r>
      <w:r w:rsidRPr="00F14B54">
        <w:rPr>
          <w:sz w:val="18"/>
          <w:szCs w:val="18"/>
          <w:lang w:val="fr-FR"/>
        </w:rPr>
        <w:t xml:space="preserve">F-X. </w:t>
      </w:r>
      <w:r w:rsidRPr="00F14B54">
        <w:rPr>
          <w:smallCaps/>
          <w:sz w:val="18"/>
          <w:szCs w:val="18"/>
          <w:lang w:val="fr-FR"/>
        </w:rPr>
        <w:t>Lucas</w:t>
      </w:r>
      <w:r w:rsidRPr="00F14B54">
        <w:rPr>
          <w:i/>
          <w:sz w:val="18"/>
          <w:szCs w:val="18"/>
          <w:lang w:val="fr-FR"/>
        </w:rPr>
        <w:t xml:space="preserve"> </w:t>
      </w:r>
      <w:r w:rsidRPr="00F14B54">
        <w:rPr>
          <w:bCs/>
          <w:i/>
          <w:sz w:val="18"/>
          <w:szCs w:val="18"/>
          <w:lang w:val="fr-FR"/>
        </w:rPr>
        <w:t>in</w:t>
      </w:r>
      <w:r w:rsidRPr="00F14B54">
        <w:rPr>
          <w:bCs/>
          <w:sz w:val="18"/>
          <w:szCs w:val="18"/>
          <w:lang w:val="fr-FR"/>
        </w:rPr>
        <w:t xml:space="preserve"> </w:t>
      </w:r>
      <w:r w:rsidRPr="00F14B54">
        <w:rPr>
          <w:sz w:val="18"/>
          <w:szCs w:val="18"/>
          <w:lang w:val="fr-FR"/>
        </w:rPr>
        <w:t>« </w:t>
      </w:r>
      <w:r w:rsidRPr="00F14B54">
        <w:rPr>
          <w:kern w:val="36"/>
          <w:sz w:val="18"/>
          <w:szCs w:val="18"/>
          <w:lang w:val="fr-FR"/>
        </w:rPr>
        <w:t xml:space="preserve">Aperçu de la réforme du droit des entreprises en difficulté par la loi de sauvegarde des entreprises du 26 juillet 2005 », </w:t>
      </w:r>
      <w:r w:rsidRPr="00F14B54">
        <w:rPr>
          <w:rFonts w:eastAsia="Times New Roman"/>
          <w:i/>
          <w:sz w:val="18"/>
          <w:szCs w:val="18"/>
          <w:lang w:val="fr-FR"/>
        </w:rPr>
        <w:t>Bulletin Joly Sociétés</w:t>
      </w:r>
      <w:r w:rsidRPr="00F14B54">
        <w:rPr>
          <w:rFonts w:eastAsia="Times New Roman"/>
          <w:sz w:val="18"/>
          <w:szCs w:val="18"/>
          <w:lang w:val="fr-FR"/>
        </w:rPr>
        <w:t>, 1</w:t>
      </w:r>
      <w:r w:rsidRPr="00F14B54">
        <w:rPr>
          <w:rFonts w:eastAsia="Times New Roman"/>
          <w:sz w:val="18"/>
          <w:szCs w:val="18"/>
          <w:vertAlign w:val="superscript"/>
          <w:lang w:val="fr-FR"/>
        </w:rPr>
        <w:t>er</w:t>
      </w:r>
      <w:r w:rsidRPr="00F14B54">
        <w:rPr>
          <w:rFonts w:eastAsia="Times New Roman"/>
          <w:sz w:val="18"/>
          <w:szCs w:val="18"/>
          <w:lang w:val="fr-FR"/>
        </w:rPr>
        <w:t xml:space="preserve"> novembre 2005, n°</w:t>
      </w:r>
      <w:r w:rsidR="00A2648B">
        <w:rPr>
          <w:rFonts w:eastAsia="Times New Roman"/>
          <w:sz w:val="18"/>
          <w:szCs w:val="18"/>
          <w:lang w:val="fr-FR"/>
        </w:rPr>
        <w:t xml:space="preserve"> </w:t>
      </w:r>
      <w:r w:rsidRPr="00F14B54">
        <w:rPr>
          <w:rFonts w:eastAsia="Times New Roman"/>
          <w:sz w:val="18"/>
          <w:szCs w:val="18"/>
          <w:lang w:val="fr-FR"/>
        </w:rPr>
        <w:t>11, p.</w:t>
      </w:r>
      <w:r w:rsidR="00A2648B">
        <w:rPr>
          <w:rFonts w:eastAsia="Times New Roman"/>
          <w:sz w:val="18"/>
          <w:szCs w:val="18"/>
          <w:lang w:val="fr-FR"/>
        </w:rPr>
        <w:t xml:space="preserve"> </w:t>
      </w:r>
      <w:r w:rsidRPr="00F14B54">
        <w:rPr>
          <w:rFonts w:eastAsia="Times New Roman"/>
          <w:sz w:val="18"/>
          <w:szCs w:val="18"/>
          <w:lang w:val="fr-FR"/>
        </w:rPr>
        <w:t xml:space="preserve">1181 ; </w:t>
      </w:r>
      <w:r w:rsidRPr="00F14B54">
        <w:rPr>
          <w:bCs/>
          <w:i/>
          <w:sz w:val="18"/>
          <w:szCs w:val="18"/>
          <w:lang w:val="fr-FR"/>
        </w:rPr>
        <w:t>in</w:t>
      </w:r>
      <w:r w:rsidRPr="00F14B54">
        <w:rPr>
          <w:bCs/>
          <w:sz w:val="18"/>
          <w:szCs w:val="18"/>
          <w:lang w:val="fr-FR"/>
        </w:rPr>
        <w:t xml:space="preserve"> </w:t>
      </w:r>
      <w:r w:rsidRPr="00F14B54">
        <w:rPr>
          <w:rFonts w:eastAsia="Times New Roman"/>
          <w:bCs/>
          <w:sz w:val="18"/>
          <w:szCs w:val="18"/>
          <w:lang w:val="fr-FR"/>
        </w:rPr>
        <w:t>« </w:t>
      </w:r>
      <w:r w:rsidRPr="00F14B54">
        <w:rPr>
          <w:rFonts w:eastAsia="Times New Roman"/>
          <w:bCs/>
          <w:kern w:val="36"/>
          <w:sz w:val="18"/>
          <w:szCs w:val="18"/>
          <w:lang w:val="fr-FR"/>
        </w:rPr>
        <w:t xml:space="preserve">Les innovations introduites par l'ordonnance n°2008-1345 du 18 décembre 2008 : morceaux choisis », </w:t>
      </w:r>
      <w:r w:rsidRPr="00F14B54">
        <w:rPr>
          <w:rFonts w:eastAsia="Times New Roman"/>
          <w:i/>
          <w:sz w:val="18"/>
          <w:szCs w:val="18"/>
          <w:lang w:val="fr-FR"/>
        </w:rPr>
        <w:t>Petites affiches</w:t>
      </w:r>
      <w:r w:rsidRPr="00F14B54">
        <w:rPr>
          <w:rFonts w:eastAsia="Times New Roman"/>
          <w:sz w:val="18"/>
          <w:szCs w:val="18"/>
          <w:lang w:val="fr-FR"/>
        </w:rPr>
        <w:t>, 22 avril 2010, n°80, p.</w:t>
      </w:r>
      <w:r w:rsidR="00A2648B">
        <w:rPr>
          <w:rFonts w:eastAsia="Times New Roman"/>
          <w:sz w:val="18"/>
          <w:szCs w:val="18"/>
          <w:lang w:val="fr-FR"/>
        </w:rPr>
        <w:t xml:space="preserve"> </w:t>
      </w:r>
      <w:r w:rsidRPr="00F14B54">
        <w:rPr>
          <w:rFonts w:eastAsia="Times New Roman"/>
          <w:sz w:val="18"/>
          <w:szCs w:val="18"/>
          <w:lang w:val="fr-FR"/>
        </w:rPr>
        <w:t xml:space="preserve">47 et </w:t>
      </w:r>
      <w:r w:rsidRPr="00F14B54">
        <w:rPr>
          <w:bCs/>
          <w:i/>
          <w:sz w:val="18"/>
          <w:szCs w:val="18"/>
          <w:lang w:val="fr-FR"/>
        </w:rPr>
        <w:t>in</w:t>
      </w:r>
      <w:r w:rsidRPr="00F14B54">
        <w:rPr>
          <w:bCs/>
          <w:sz w:val="18"/>
          <w:szCs w:val="18"/>
          <w:lang w:val="fr-FR"/>
        </w:rPr>
        <w:t xml:space="preserve"> </w:t>
      </w:r>
      <w:r w:rsidRPr="00F14B54">
        <w:rPr>
          <w:sz w:val="18"/>
          <w:szCs w:val="18"/>
          <w:lang w:val="fr-FR"/>
        </w:rPr>
        <w:t xml:space="preserve">« Commentaire des dispositions de la loi du 6 août 2015 « pour la croissance, l’activité et l’égalité des chances économiques » intéressant le droit des entreprises en difficulté », </w:t>
      </w:r>
      <w:r w:rsidRPr="00F14B54">
        <w:rPr>
          <w:i/>
          <w:sz w:val="18"/>
          <w:szCs w:val="18"/>
          <w:lang w:val="fr-FR"/>
        </w:rPr>
        <w:t>Bulletin Joly Entreprises en Difficulté</w:t>
      </w:r>
      <w:r w:rsidRPr="00F14B54">
        <w:rPr>
          <w:sz w:val="18"/>
          <w:szCs w:val="18"/>
          <w:lang w:val="fr-FR"/>
        </w:rPr>
        <w:t>, 1</w:t>
      </w:r>
      <w:r w:rsidRPr="00F14B54">
        <w:rPr>
          <w:sz w:val="18"/>
          <w:szCs w:val="18"/>
          <w:vertAlign w:val="superscript"/>
          <w:lang w:val="fr-FR"/>
        </w:rPr>
        <w:t>er</w:t>
      </w:r>
      <w:r w:rsidRPr="00F14B54">
        <w:rPr>
          <w:sz w:val="18"/>
          <w:szCs w:val="18"/>
          <w:lang w:val="fr-FR"/>
        </w:rPr>
        <w:t> septembre 2015, n°</w:t>
      </w:r>
      <w:r w:rsidR="00A2648B">
        <w:rPr>
          <w:sz w:val="18"/>
          <w:szCs w:val="18"/>
          <w:lang w:val="fr-FR"/>
        </w:rPr>
        <w:t xml:space="preserve"> </w:t>
      </w:r>
      <w:r w:rsidRPr="00F14B54">
        <w:rPr>
          <w:sz w:val="18"/>
          <w:szCs w:val="18"/>
          <w:lang w:val="fr-FR"/>
        </w:rPr>
        <w:t>5, p.</w:t>
      </w:r>
      <w:r w:rsidR="00A2648B">
        <w:rPr>
          <w:sz w:val="18"/>
          <w:szCs w:val="18"/>
          <w:lang w:val="fr-FR"/>
        </w:rPr>
        <w:t> </w:t>
      </w:r>
      <w:r w:rsidRPr="00F14B54">
        <w:rPr>
          <w:sz w:val="18"/>
          <w:szCs w:val="18"/>
          <w:lang w:val="fr-FR"/>
        </w:rPr>
        <w:t xml:space="preserve">317. </w:t>
      </w:r>
      <w:r>
        <w:rPr>
          <w:rFonts w:eastAsia="Times New Roman"/>
          <w:sz w:val="18"/>
          <w:szCs w:val="18"/>
          <w:lang w:val="fr-FR"/>
        </w:rPr>
        <w:t>E</w:t>
      </w:r>
      <w:r w:rsidRPr="00F14B54">
        <w:rPr>
          <w:rFonts w:eastAsia="Times New Roman"/>
          <w:sz w:val="18"/>
          <w:szCs w:val="18"/>
          <w:lang w:val="fr-FR"/>
        </w:rPr>
        <w:t xml:space="preserve">galement, voir </w:t>
      </w:r>
      <w:r w:rsidRPr="00F14B54">
        <w:rPr>
          <w:bCs/>
          <w:sz w:val="18"/>
          <w:szCs w:val="18"/>
          <w:lang w:val="fr-FR"/>
        </w:rPr>
        <w:t xml:space="preserve">P-M. </w:t>
      </w:r>
      <w:r w:rsidRPr="00F14B54">
        <w:rPr>
          <w:bCs/>
          <w:smallCaps/>
          <w:sz w:val="18"/>
          <w:szCs w:val="18"/>
          <w:lang w:val="fr-FR"/>
        </w:rPr>
        <w:t xml:space="preserve">Le Corre </w:t>
      </w:r>
      <w:r w:rsidRPr="00F14B54">
        <w:rPr>
          <w:bCs/>
          <w:i/>
          <w:sz w:val="18"/>
          <w:szCs w:val="18"/>
          <w:lang w:val="fr-FR"/>
        </w:rPr>
        <w:t xml:space="preserve">in </w:t>
      </w:r>
      <w:r w:rsidRPr="00F14B54">
        <w:rPr>
          <w:bCs/>
          <w:sz w:val="18"/>
          <w:szCs w:val="18"/>
          <w:lang w:val="fr-FR"/>
        </w:rPr>
        <w:t xml:space="preserve">« Premiers regards sur l’ordonnance du 12 mars 2014 », </w:t>
      </w:r>
      <w:r w:rsidRPr="00F14B54">
        <w:rPr>
          <w:bCs/>
          <w:i/>
          <w:sz w:val="18"/>
          <w:szCs w:val="18"/>
          <w:lang w:val="fr-FR"/>
        </w:rPr>
        <w:t>D.</w:t>
      </w:r>
      <w:r w:rsidRPr="00F14B54">
        <w:rPr>
          <w:bCs/>
          <w:sz w:val="18"/>
          <w:szCs w:val="18"/>
          <w:lang w:val="fr-FR"/>
        </w:rPr>
        <w:t xml:space="preserve"> 2014, 733 et suivants. </w:t>
      </w:r>
    </w:p>
  </w:footnote>
  <w:footnote w:id="4">
    <w:p w14:paraId="7611CE6E" w14:textId="25E2B218"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à ce sujet, C. </w:t>
      </w:r>
      <w:r w:rsidRPr="00F14B54">
        <w:rPr>
          <w:smallCaps/>
          <w:sz w:val="18"/>
          <w:szCs w:val="18"/>
          <w:lang w:val="fr-FR"/>
        </w:rPr>
        <w:t>Saint-</w:t>
      </w:r>
      <w:proofErr w:type="spellStart"/>
      <w:r w:rsidRPr="00F14B54">
        <w:rPr>
          <w:smallCaps/>
          <w:sz w:val="18"/>
          <w:szCs w:val="18"/>
          <w:lang w:val="fr-FR"/>
        </w:rPr>
        <w:t>Alary</w:t>
      </w:r>
      <w:proofErr w:type="spellEnd"/>
      <w:r w:rsidRPr="00F14B54">
        <w:rPr>
          <w:smallCaps/>
          <w:sz w:val="18"/>
          <w:szCs w:val="18"/>
          <w:lang w:val="fr-FR"/>
        </w:rPr>
        <w:t>-</w:t>
      </w:r>
      <w:proofErr w:type="spellStart"/>
      <w:r w:rsidRPr="00F14B54">
        <w:rPr>
          <w:smallCaps/>
          <w:sz w:val="18"/>
          <w:szCs w:val="18"/>
          <w:lang w:val="fr-FR"/>
        </w:rPr>
        <w:t>Houin</w:t>
      </w:r>
      <w:proofErr w:type="spellEnd"/>
      <w:r w:rsidRPr="00F14B54">
        <w:rPr>
          <w:sz w:val="18"/>
          <w:szCs w:val="18"/>
          <w:lang w:val="fr-FR"/>
        </w:rPr>
        <w:t xml:space="preserve"> </w:t>
      </w:r>
      <w:r w:rsidRPr="00F14B54">
        <w:rPr>
          <w:i/>
          <w:sz w:val="18"/>
          <w:szCs w:val="18"/>
          <w:lang w:val="fr-FR"/>
        </w:rPr>
        <w:t xml:space="preserve">in </w:t>
      </w:r>
      <w:r w:rsidRPr="00F14B54">
        <w:rPr>
          <w:sz w:val="18"/>
          <w:szCs w:val="18"/>
          <w:lang w:val="fr-FR"/>
        </w:rPr>
        <w:t>«</w:t>
      </w:r>
      <w:r w:rsidRPr="00F14B54">
        <w:rPr>
          <w:i/>
          <w:sz w:val="18"/>
          <w:szCs w:val="18"/>
          <w:lang w:val="fr-FR"/>
        </w:rPr>
        <w:t> </w:t>
      </w:r>
      <w:r w:rsidRPr="00F14B54">
        <w:rPr>
          <w:sz w:val="18"/>
          <w:szCs w:val="18"/>
          <w:lang w:val="fr-FR"/>
        </w:rPr>
        <w:t xml:space="preserve">Le droit des entreprises en difficulté », </w:t>
      </w:r>
      <w:r w:rsidRPr="00F14B54">
        <w:rPr>
          <w:i/>
          <w:sz w:val="18"/>
          <w:szCs w:val="18"/>
          <w:lang w:val="fr-FR"/>
        </w:rPr>
        <w:t>Montchrestien, Précis Domat</w:t>
      </w:r>
      <w:r w:rsidRPr="00F14B54">
        <w:rPr>
          <w:sz w:val="18"/>
          <w:szCs w:val="18"/>
          <w:lang w:val="fr-FR"/>
        </w:rPr>
        <w:t>, 9</w:t>
      </w:r>
      <w:r w:rsidRPr="00F14B54">
        <w:rPr>
          <w:sz w:val="18"/>
          <w:szCs w:val="18"/>
          <w:vertAlign w:val="superscript"/>
          <w:lang w:val="fr-FR"/>
        </w:rPr>
        <w:t>ème</w:t>
      </w:r>
      <w:r w:rsidRPr="00F14B54">
        <w:rPr>
          <w:sz w:val="18"/>
          <w:szCs w:val="18"/>
          <w:lang w:val="fr-FR"/>
        </w:rPr>
        <w:t xml:space="preserve"> édition, 2014.</w:t>
      </w:r>
    </w:p>
  </w:footnote>
  <w:footnote w:id="5">
    <w:p w14:paraId="242949C6" w14:textId="63D75E44"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En ce sens, voir H. </w:t>
      </w:r>
      <w:proofErr w:type="spellStart"/>
      <w:r w:rsidRPr="00F14B54">
        <w:rPr>
          <w:smallCaps/>
          <w:sz w:val="18"/>
          <w:szCs w:val="18"/>
          <w:lang w:val="fr-FR"/>
        </w:rPr>
        <w:t>Bourbouloux</w:t>
      </w:r>
      <w:proofErr w:type="spellEnd"/>
      <w:r w:rsidRPr="00F14B54">
        <w:rPr>
          <w:sz w:val="18"/>
          <w:szCs w:val="18"/>
          <w:lang w:val="fr-FR"/>
        </w:rPr>
        <w:t xml:space="preserve"> </w:t>
      </w:r>
      <w:r w:rsidRPr="00F14B54">
        <w:rPr>
          <w:i/>
          <w:sz w:val="18"/>
          <w:szCs w:val="18"/>
          <w:lang w:val="fr-FR"/>
        </w:rPr>
        <w:t>in</w:t>
      </w:r>
      <w:r w:rsidRPr="00F14B54">
        <w:rPr>
          <w:sz w:val="18"/>
          <w:szCs w:val="18"/>
          <w:lang w:val="fr-FR"/>
        </w:rPr>
        <w:t xml:space="preserve"> « </w:t>
      </w:r>
      <w:r w:rsidRPr="00F14B54">
        <w:rPr>
          <w:kern w:val="36"/>
          <w:sz w:val="18"/>
          <w:szCs w:val="18"/>
          <w:lang w:val="fr-FR"/>
        </w:rPr>
        <w:t xml:space="preserve">Les chiffres trompeurs : halte aux idées reçues ! La boîte à outils du livre VI est performante », </w:t>
      </w:r>
      <w:r w:rsidRPr="00F14B54">
        <w:rPr>
          <w:i/>
          <w:sz w:val="18"/>
          <w:szCs w:val="18"/>
          <w:lang w:val="fr-FR"/>
        </w:rPr>
        <w:t>Bulletin Joly Entreprises en Difficulté</w:t>
      </w:r>
      <w:r w:rsidRPr="00F14B54">
        <w:rPr>
          <w:sz w:val="18"/>
          <w:szCs w:val="18"/>
          <w:lang w:val="fr-FR"/>
        </w:rPr>
        <w:t>, 1</w:t>
      </w:r>
      <w:r w:rsidRPr="00F14B54">
        <w:rPr>
          <w:sz w:val="18"/>
          <w:szCs w:val="18"/>
          <w:vertAlign w:val="superscript"/>
          <w:lang w:val="fr-FR"/>
        </w:rPr>
        <w:t>er</w:t>
      </w:r>
      <w:r w:rsidRPr="00F14B54">
        <w:rPr>
          <w:sz w:val="18"/>
          <w:szCs w:val="18"/>
          <w:lang w:val="fr-FR"/>
        </w:rPr>
        <w:t xml:space="preserve"> juillet 2012, n°</w:t>
      </w:r>
      <w:r w:rsidR="00A2648B">
        <w:rPr>
          <w:sz w:val="18"/>
          <w:szCs w:val="18"/>
          <w:lang w:val="fr-FR"/>
        </w:rPr>
        <w:t xml:space="preserve"> </w:t>
      </w:r>
      <w:r w:rsidRPr="00F14B54">
        <w:rPr>
          <w:sz w:val="18"/>
          <w:szCs w:val="18"/>
          <w:lang w:val="fr-FR"/>
        </w:rPr>
        <w:t>4, p.</w:t>
      </w:r>
      <w:r w:rsidR="00A2648B">
        <w:rPr>
          <w:sz w:val="18"/>
          <w:szCs w:val="18"/>
          <w:lang w:val="fr-FR"/>
        </w:rPr>
        <w:t xml:space="preserve"> </w:t>
      </w:r>
      <w:r w:rsidRPr="00F14B54">
        <w:rPr>
          <w:sz w:val="18"/>
          <w:szCs w:val="18"/>
          <w:lang w:val="fr-FR"/>
        </w:rPr>
        <w:t>206.</w:t>
      </w:r>
    </w:p>
  </w:footnote>
  <w:footnote w:id="6">
    <w:p w14:paraId="5EFFF57D" w14:textId="5D0246AB" w:rsidR="00704A68" w:rsidRPr="00F14B54" w:rsidRDefault="00704A68" w:rsidP="0069582B">
      <w:pPr>
        <w:pStyle w:val="Sansinterligne"/>
        <w:contextualSpacing/>
        <w:rPr>
          <w:rFonts w:eastAsia="Times New Roman"/>
          <w:bCs/>
          <w:kern w:val="36"/>
          <w:sz w:val="18"/>
          <w:szCs w:val="18"/>
          <w:lang w:val="fr-FR"/>
        </w:rPr>
      </w:pPr>
      <w:r w:rsidRPr="00F14B54">
        <w:rPr>
          <w:rStyle w:val="Marquenotebasdepage"/>
          <w:sz w:val="18"/>
          <w:szCs w:val="18"/>
        </w:rPr>
        <w:footnoteRef/>
      </w:r>
      <w:r>
        <w:rPr>
          <w:sz w:val="18"/>
          <w:szCs w:val="18"/>
          <w:lang w:val="fr-FR"/>
        </w:rPr>
        <w:t xml:space="preserve"> A</w:t>
      </w:r>
      <w:r w:rsidRPr="00F14B54">
        <w:rPr>
          <w:sz w:val="18"/>
          <w:szCs w:val="18"/>
          <w:lang w:val="fr-FR"/>
        </w:rPr>
        <w:t xml:space="preserve"> ce sujet, voir </w:t>
      </w:r>
      <w:r w:rsidRPr="00F14B54">
        <w:rPr>
          <w:rFonts w:eastAsia="Times New Roman"/>
          <w:bCs/>
          <w:kern w:val="36"/>
          <w:sz w:val="18"/>
          <w:szCs w:val="18"/>
          <w:lang w:val="fr-FR"/>
        </w:rPr>
        <w:t xml:space="preserve">E. </w:t>
      </w:r>
      <w:r w:rsidRPr="00F14B54">
        <w:rPr>
          <w:rFonts w:eastAsia="Times New Roman"/>
          <w:bCs/>
          <w:smallCaps/>
          <w:kern w:val="36"/>
          <w:sz w:val="18"/>
          <w:szCs w:val="18"/>
          <w:lang w:val="fr-FR"/>
        </w:rPr>
        <w:t>Brocard</w:t>
      </w:r>
      <w:r w:rsidRPr="00F14B54">
        <w:rPr>
          <w:rFonts w:eastAsia="Times New Roman"/>
          <w:bCs/>
          <w:kern w:val="36"/>
          <w:sz w:val="18"/>
          <w:szCs w:val="18"/>
          <w:lang w:val="fr-FR"/>
        </w:rPr>
        <w:t xml:space="preserve"> </w:t>
      </w:r>
      <w:r w:rsidRPr="00F14B54">
        <w:rPr>
          <w:rFonts w:eastAsia="Times New Roman"/>
          <w:bCs/>
          <w:i/>
          <w:kern w:val="36"/>
          <w:sz w:val="18"/>
          <w:szCs w:val="18"/>
          <w:lang w:val="fr-FR"/>
        </w:rPr>
        <w:t xml:space="preserve">in </w:t>
      </w:r>
      <w:r w:rsidRPr="00F14B54">
        <w:rPr>
          <w:rFonts w:eastAsia="Times New Roman"/>
          <w:bCs/>
          <w:kern w:val="36"/>
          <w:sz w:val="18"/>
          <w:szCs w:val="18"/>
          <w:lang w:val="fr-FR"/>
        </w:rPr>
        <w:t xml:space="preserve">« Les stratégies de restructuration des entreprises en difficulté », </w:t>
      </w:r>
      <w:r w:rsidRPr="00F14B54">
        <w:rPr>
          <w:rFonts w:eastAsia="Times New Roman"/>
          <w:i/>
          <w:sz w:val="18"/>
          <w:szCs w:val="18"/>
          <w:lang w:val="fr-FR"/>
        </w:rPr>
        <w:t>Petites affiches</w:t>
      </w:r>
      <w:r w:rsidRPr="00F14B54">
        <w:rPr>
          <w:rFonts w:eastAsia="Times New Roman"/>
          <w:sz w:val="18"/>
          <w:szCs w:val="18"/>
          <w:lang w:val="fr-FR"/>
        </w:rPr>
        <w:t>, 11 mai 2011, n°</w:t>
      </w:r>
      <w:r w:rsidR="00A2648B">
        <w:rPr>
          <w:rFonts w:eastAsia="Times New Roman"/>
          <w:sz w:val="18"/>
          <w:szCs w:val="18"/>
          <w:lang w:val="fr-FR"/>
        </w:rPr>
        <w:t xml:space="preserve"> </w:t>
      </w:r>
      <w:r w:rsidRPr="00F14B54">
        <w:rPr>
          <w:rFonts w:eastAsia="Times New Roman"/>
          <w:sz w:val="18"/>
          <w:szCs w:val="18"/>
          <w:lang w:val="fr-FR"/>
        </w:rPr>
        <w:t>93, p.</w:t>
      </w:r>
      <w:r w:rsidR="00A2648B">
        <w:rPr>
          <w:rFonts w:eastAsia="Times New Roman"/>
          <w:sz w:val="18"/>
          <w:szCs w:val="18"/>
          <w:lang w:val="fr-FR"/>
        </w:rPr>
        <w:t xml:space="preserve"> </w:t>
      </w:r>
      <w:r w:rsidRPr="00F14B54">
        <w:rPr>
          <w:rFonts w:eastAsia="Times New Roman"/>
          <w:sz w:val="18"/>
          <w:szCs w:val="18"/>
          <w:lang w:val="fr-FR"/>
        </w:rPr>
        <w:t>4 et T.</w:t>
      </w:r>
      <w:r>
        <w:rPr>
          <w:rFonts w:eastAsia="Times New Roman"/>
          <w:sz w:val="18"/>
          <w:szCs w:val="18"/>
          <w:lang w:val="fr-FR"/>
        </w:rPr>
        <w:t xml:space="preserve"> </w:t>
      </w:r>
      <w:proofErr w:type="spellStart"/>
      <w:r w:rsidRPr="00F14B54">
        <w:rPr>
          <w:rFonts w:eastAsia="Times New Roman"/>
          <w:smallCaps/>
          <w:sz w:val="18"/>
          <w:szCs w:val="18"/>
          <w:lang w:val="fr-FR"/>
        </w:rPr>
        <w:t>Massart</w:t>
      </w:r>
      <w:proofErr w:type="spellEnd"/>
      <w:r w:rsidRPr="00F14B54">
        <w:rPr>
          <w:rFonts w:eastAsia="Times New Roman"/>
          <w:sz w:val="18"/>
          <w:szCs w:val="18"/>
          <w:lang w:val="fr-FR"/>
        </w:rPr>
        <w:t xml:space="preserve"> </w:t>
      </w:r>
      <w:r w:rsidRPr="00F14B54">
        <w:rPr>
          <w:rFonts w:eastAsia="Times New Roman"/>
          <w:bCs/>
          <w:i/>
          <w:kern w:val="36"/>
          <w:sz w:val="18"/>
          <w:szCs w:val="18"/>
          <w:lang w:val="fr-FR"/>
        </w:rPr>
        <w:t>in</w:t>
      </w:r>
      <w:r w:rsidRPr="00F14B54">
        <w:rPr>
          <w:rFonts w:eastAsia="Times New Roman"/>
          <w:bCs/>
          <w:kern w:val="36"/>
          <w:sz w:val="18"/>
          <w:szCs w:val="18"/>
          <w:lang w:val="fr-FR"/>
        </w:rPr>
        <w:t xml:space="preserve"> </w:t>
      </w:r>
      <w:r w:rsidRPr="00F14B54">
        <w:rPr>
          <w:rFonts w:eastAsia="Times New Roman"/>
          <w:sz w:val="18"/>
          <w:szCs w:val="18"/>
          <w:lang w:val="fr-FR"/>
        </w:rPr>
        <w:t xml:space="preserve">« Panorama de l’environnement juridique de la restructuration », </w:t>
      </w:r>
      <w:r w:rsidRPr="00F14B54">
        <w:rPr>
          <w:rFonts w:eastAsia="Times New Roman"/>
          <w:i/>
          <w:sz w:val="18"/>
          <w:szCs w:val="18"/>
          <w:lang w:val="fr-FR"/>
        </w:rPr>
        <w:t>Revue Lamy Droit des Affaires</w:t>
      </w:r>
      <w:r w:rsidRPr="00F14B54">
        <w:rPr>
          <w:rFonts w:eastAsia="Times New Roman"/>
          <w:sz w:val="18"/>
          <w:szCs w:val="18"/>
          <w:lang w:val="fr-FR"/>
        </w:rPr>
        <w:t>, 2010, n°</w:t>
      </w:r>
      <w:r w:rsidR="00A2648B">
        <w:rPr>
          <w:rFonts w:eastAsia="Times New Roman"/>
          <w:sz w:val="18"/>
          <w:szCs w:val="18"/>
          <w:lang w:val="fr-FR"/>
        </w:rPr>
        <w:t> </w:t>
      </w:r>
      <w:r w:rsidRPr="00F14B54">
        <w:rPr>
          <w:rFonts w:eastAsia="Times New Roman"/>
          <w:sz w:val="18"/>
          <w:szCs w:val="18"/>
          <w:lang w:val="fr-FR"/>
        </w:rPr>
        <w:t>54.</w:t>
      </w:r>
    </w:p>
  </w:footnote>
  <w:footnote w:id="7">
    <w:p w14:paraId="1C799DF8" w14:textId="68E43B59"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Phénomène d’abord révélé par la loi </w:t>
      </w:r>
      <w:r w:rsidRPr="00F14B54">
        <w:rPr>
          <w:bCs/>
          <w:szCs w:val="18"/>
          <w:lang w:val="fr-FR"/>
        </w:rPr>
        <w:t xml:space="preserve">n°2005-845 </w:t>
      </w:r>
      <w:r w:rsidRPr="00F14B54">
        <w:rPr>
          <w:szCs w:val="18"/>
          <w:lang w:val="fr-FR"/>
        </w:rPr>
        <w:t xml:space="preserve">de sauvegarde des entreprises en difficulté du 26 juillet 2005, améliorée par l’ordonnance </w:t>
      </w:r>
      <w:r w:rsidRPr="00F14B54">
        <w:rPr>
          <w:bCs/>
          <w:szCs w:val="18"/>
          <w:lang w:val="fr-FR"/>
        </w:rPr>
        <w:t xml:space="preserve">n°2008-1345 </w:t>
      </w:r>
      <w:r w:rsidRPr="00F14B54">
        <w:rPr>
          <w:szCs w:val="18"/>
          <w:lang w:val="fr-FR"/>
        </w:rPr>
        <w:t>du 18 décembre 2008 portant réforme du droit des entreprises en difficulté mais aussi par l’œuvre de la jurisprudence, puis largement accentué par l’ordonnance</w:t>
      </w:r>
      <w:r w:rsidRPr="00F14B54">
        <w:rPr>
          <w:bCs/>
          <w:szCs w:val="18"/>
          <w:lang w:val="fr-FR"/>
        </w:rPr>
        <w:t xml:space="preserve"> n°</w:t>
      </w:r>
      <w:r w:rsidR="00A2648B">
        <w:rPr>
          <w:bCs/>
          <w:szCs w:val="18"/>
          <w:lang w:val="fr-FR"/>
        </w:rPr>
        <w:t> </w:t>
      </w:r>
      <w:r w:rsidRPr="00F14B54">
        <w:rPr>
          <w:bCs/>
          <w:szCs w:val="18"/>
          <w:lang w:val="fr-FR"/>
        </w:rPr>
        <w:t>2014-326</w:t>
      </w:r>
      <w:r w:rsidRPr="00F14B54">
        <w:rPr>
          <w:szCs w:val="18"/>
          <w:lang w:val="fr-FR"/>
        </w:rPr>
        <w:t xml:space="preserve"> du 12 mars 2014 </w:t>
      </w:r>
      <w:r w:rsidRPr="00F14B54">
        <w:rPr>
          <w:bCs/>
          <w:szCs w:val="18"/>
          <w:lang w:val="fr-FR"/>
        </w:rPr>
        <w:t xml:space="preserve">portant réforme de la prévention des difficultés des entreprises et des procédures collectives </w:t>
      </w:r>
      <w:r w:rsidRPr="00F14B54">
        <w:rPr>
          <w:szCs w:val="18"/>
          <w:lang w:val="fr-FR"/>
        </w:rPr>
        <w:t xml:space="preserve">et, récemment, par la loi </w:t>
      </w:r>
      <w:r w:rsidRPr="00F14B54">
        <w:rPr>
          <w:bCs/>
          <w:szCs w:val="18"/>
          <w:lang w:val="fr-FR"/>
        </w:rPr>
        <w:t>n°</w:t>
      </w:r>
      <w:r w:rsidR="00A2648B">
        <w:rPr>
          <w:bCs/>
          <w:szCs w:val="18"/>
          <w:lang w:val="fr-FR"/>
        </w:rPr>
        <w:t xml:space="preserve"> </w:t>
      </w:r>
      <w:r w:rsidRPr="00F14B54">
        <w:rPr>
          <w:bCs/>
          <w:szCs w:val="18"/>
          <w:lang w:val="fr-FR"/>
        </w:rPr>
        <w:t xml:space="preserve">2015-990 </w:t>
      </w:r>
      <w:r w:rsidRPr="00F14B54">
        <w:rPr>
          <w:szCs w:val="18"/>
          <w:lang w:val="fr-FR"/>
        </w:rPr>
        <w:t>du 6 août 2015</w:t>
      </w:r>
      <w:r w:rsidRPr="00F14B54">
        <w:rPr>
          <w:b/>
          <w:bCs/>
          <w:szCs w:val="18"/>
          <w:lang w:val="fr-FR"/>
        </w:rPr>
        <w:t xml:space="preserve"> </w:t>
      </w:r>
      <w:r>
        <w:rPr>
          <w:bCs/>
          <w:szCs w:val="18"/>
          <w:lang w:val="fr-FR"/>
        </w:rPr>
        <w:t>pour la croissance, l’activité et l’</w:t>
      </w:r>
      <w:r w:rsidRPr="00F14B54">
        <w:rPr>
          <w:bCs/>
          <w:szCs w:val="18"/>
          <w:lang w:val="fr-FR"/>
        </w:rPr>
        <w:t>égalité des chances économiques.</w:t>
      </w:r>
    </w:p>
  </w:footnote>
  <w:footnote w:id="8">
    <w:p w14:paraId="00ADF99B" w14:textId="33B71B3E"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w:t>
      </w:r>
      <w:r w:rsidRPr="00F14B54">
        <w:rPr>
          <w:bCs/>
          <w:szCs w:val="18"/>
          <w:lang w:val="fr-FR"/>
        </w:rPr>
        <w:t xml:space="preserve">Voir en ce sens, F. </w:t>
      </w:r>
      <w:proofErr w:type="spellStart"/>
      <w:r w:rsidRPr="00F14B54">
        <w:rPr>
          <w:bCs/>
          <w:smallCaps/>
          <w:szCs w:val="18"/>
          <w:lang w:val="fr-FR"/>
        </w:rPr>
        <w:t>Pérochon</w:t>
      </w:r>
      <w:proofErr w:type="spellEnd"/>
      <w:r w:rsidRPr="00F14B54">
        <w:rPr>
          <w:bCs/>
          <w:szCs w:val="18"/>
          <w:lang w:val="fr-FR"/>
        </w:rPr>
        <w:t xml:space="preserve"> </w:t>
      </w:r>
      <w:r w:rsidRPr="00F14B54">
        <w:rPr>
          <w:bCs/>
          <w:i/>
          <w:szCs w:val="18"/>
          <w:lang w:val="fr-FR"/>
        </w:rPr>
        <w:t>in</w:t>
      </w:r>
      <w:r w:rsidRPr="00F14B54">
        <w:rPr>
          <w:bCs/>
          <w:szCs w:val="18"/>
          <w:lang w:val="fr-FR"/>
        </w:rPr>
        <w:t xml:space="preserve"> </w:t>
      </w:r>
      <w:r w:rsidRPr="00F14B54">
        <w:rPr>
          <w:bCs/>
          <w:i/>
          <w:szCs w:val="18"/>
          <w:lang w:val="fr-FR"/>
        </w:rPr>
        <w:t>Entreprises en difficulté</w:t>
      </w:r>
      <w:r w:rsidRPr="00F14B54">
        <w:rPr>
          <w:bCs/>
          <w:szCs w:val="18"/>
          <w:lang w:val="fr-FR"/>
        </w:rPr>
        <w:t>, 9</w:t>
      </w:r>
      <w:r w:rsidRPr="00F14B54">
        <w:rPr>
          <w:bCs/>
          <w:szCs w:val="18"/>
          <w:vertAlign w:val="superscript"/>
          <w:lang w:val="fr-FR"/>
        </w:rPr>
        <w:t>ème</w:t>
      </w:r>
      <w:r w:rsidRPr="00F14B54">
        <w:rPr>
          <w:bCs/>
          <w:szCs w:val="18"/>
          <w:lang w:val="fr-FR"/>
        </w:rPr>
        <w:t xml:space="preserve"> édition, LGDJ, collection « Manuel », 2012. </w:t>
      </w:r>
    </w:p>
  </w:footnote>
  <w:footnote w:id="9">
    <w:p w14:paraId="2D4D5FDD"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Avec sa « discipline », à l’instar de celle qu’elle inflige et impose aux créanciers du débiteur en difficulté. </w:t>
      </w:r>
    </w:p>
  </w:footnote>
  <w:footnote w:id="10">
    <w:p w14:paraId="0C636FBD" w14:textId="129CFB88" w:rsidR="00704A68" w:rsidRPr="00F14B54" w:rsidRDefault="00704A68" w:rsidP="0069582B">
      <w:pPr>
        <w:pStyle w:val="Sansinterligne"/>
        <w:contextualSpacing/>
        <w:rPr>
          <w:rFonts w:eastAsia="Times New Roman"/>
          <w:bCs/>
          <w:sz w:val="18"/>
          <w:szCs w:val="18"/>
          <w:lang w:val="fr-FR"/>
        </w:rPr>
      </w:pPr>
      <w:r w:rsidRPr="00F14B54">
        <w:rPr>
          <w:rStyle w:val="Marquenotebasdepage"/>
          <w:sz w:val="18"/>
          <w:szCs w:val="18"/>
        </w:rPr>
        <w:footnoteRef/>
      </w:r>
      <w:r w:rsidRPr="00F14B54">
        <w:rPr>
          <w:sz w:val="18"/>
          <w:szCs w:val="18"/>
          <w:lang w:val="fr-FR"/>
        </w:rPr>
        <w:t xml:space="preserve"> Voir </w:t>
      </w:r>
      <w:r w:rsidRPr="00F14B54">
        <w:rPr>
          <w:rFonts w:eastAsia="Times New Roman"/>
          <w:sz w:val="18"/>
          <w:szCs w:val="18"/>
          <w:lang w:val="fr-FR"/>
        </w:rPr>
        <w:t xml:space="preserve">J. </w:t>
      </w:r>
      <w:proofErr w:type="spellStart"/>
      <w:r w:rsidRPr="00F14B54">
        <w:rPr>
          <w:rFonts w:eastAsia="Times New Roman"/>
          <w:smallCaps/>
          <w:sz w:val="18"/>
          <w:szCs w:val="18"/>
          <w:lang w:val="fr-FR"/>
        </w:rPr>
        <w:t>Vallansan</w:t>
      </w:r>
      <w:proofErr w:type="spellEnd"/>
      <w:r w:rsidRPr="00F14B54">
        <w:rPr>
          <w:rFonts w:eastAsia="Times New Roman"/>
          <w:sz w:val="18"/>
          <w:szCs w:val="18"/>
          <w:lang w:val="fr-FR"/>
        </w:rPr>
        <w:t xml:space="preserve"> </w:t>
      </w:r>
      <w:r w:rsidRPr="00F14B54">
        <w:rPr>
          <w:rFonts w:eastAsia="Times New Roman"/>
          <w:i/>
          <w:sz w:val="18"/>
          <w:szCs w:val="18"/>
          <w:lang w:val="fr-FR"/>
        </w:rPr>
        <w:t>in</w:t>
      </w:r>
      <w:r w:rsidRPr="00F14B54">
        <w:rPr>
          <w:rFonts w:eastAsia="Times New Roman"/>
          <w:sz w:val="18"/>
          <w:szCs w:val="18"/>
          <w:lang w:val="fr-FR"/>
        </w:rPr>
        <w:t xml:space="preserve"> </w:t>
      </w:r>
      <w:r w:rsidRPr="00F14B54">
        <w:rPr>
          <w:rFonts w:eastAsia="Times New Roman"/>
          <w:i/>
          <w:sz w:val="18"/>
          <w:szCs w:val="18"/>
          <w:lang w:val="fr-FR"/>
        </w:rPr>
        <w:t>Difficultés des entreprises</w:t>
      </w:r>
      <w:r w:rsidRPr="00F14B54">
        <w:rPr>
          <w:rFonts w:eastAsia="Times New Roman"/>
          <w:sz w:val="18"/>
          <w:szCs w:val="18"/>
          <w:lang w:val="fr-FR"/>
        </w:rPr>
        <w:t>, 6</w:t>
      </w:r>
      <w:r w:rsidRPr="00F14B54">
        <w:rPr>
          <w:rFonts w:eastAsia="Times New Roman"/>
          <w:sz w:val="18"/>
          <w:szCs w:val="18"/>
          <w:vertAlign w:val="superscript"/>
          <w:lang w:val="fr-FR"/>
        </w:rPr>
        <w:t>ème</w:t>
      </w:r>
      <w:r w:rsidRPr="00F14B54">
        <w:rPr>
          <w:rFonts w:eastAsia="Times New Roman"/>
          <w:sz w:val="18"/>
          <w:szCs w:val="18"/>
          <w:lang w:val="fr-FR"/>
        </w:rPr>
        <w:t xml:space="preserve"> édition, </w:t>
      </w:r>
      <w:proofErr w:type="spellStart"/>
      <w:r w:rsidRPr="00F14B54">
        <w:rPr>
          <w:rFonts w:eastAsia="Times New Roman"/>
          <w:sz w:val="18"/>
          <w:szCs w:val="18"/>
          <w:lang w:val="fr-FR"/>
        </w:rPr>
        <w:t>LexisNexis</w:t>
      </w:r>
      <w:proofErr w:type="spellEnd"/>
      <w:r w:rsidRPr="00F14B54">
        <w:rPr>
          <w:rFonts w:eastAsia="Times New Roman"/>
          <w:sz w:val="18"/>
          <w:szCs w:val="18"/>
          <w:lang w:val="fr-FR"/>
        </w:rPr>
        <w:t>, collection « </w:t>
      </w:r>
      <w:proofErr w:type="spellStart"/>
      <w:r w:rsidRPr="00F14B54">
        <w:rPr>
          <w:rFonts w:eastAsia="Times New Roman"/>
          <w:sz w:val="18"/>
          <w:szCs w:val="18"/>
          <w:lang w:val="fr-FR"/>
        </w:rPr>
        <w:t>Litec</w:t>
      </w:r>
      <w:proofErr w:type="spellEnd"/>
      <w:r w:rsidRPr="00F14B54">
        <w:rPr>
          <w:rFonts w:eastAsia="Times New Roman"/>
          <w:sz w:val="18"/>
          <w:szCs w:val="18"/>
          <w:lang w:val="fr-FR"/>
        </w:rPr>
        <w:t xml:space="preserve"> Professionnels », 2012.</w:t>
      </w:r>
    </w:p>
  </w:footnote>
  <w:footnote w:id="11">
    <w:p w14:paraId="5DC26B74" w14:textId="4C7C2243"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Tel que celui de mettre en place des dispositifs de restructuration qui se veulent efficaces sans pour autant rui</w:t>
      </w:r>
      <w:r>
        <w:rPr>
          <w:szCs w:val="18"/>
          <w:lang w:val="fr-FR"/>
        </w:rPr>
        <w:t>ner le crédit de l’entreprise. A</w:t>
      </w:r>
      <w:r w:rsidRPr="00F14B54">
        <w:rPr>
          <w:szCs w:val="18"/>
          <w:lang w:val="fr-FR"/>
        </w:rPr>
        <w:t xml:space="preserve"> ce sujet, voir par exemple C. </w:t>
      </w:r>
      <w:r w:rsidRPr="00F14B54">
        <w:rPr>
          <w:smallCaps/>
          <w:szCs w:val="18"/>
          <w:lang w:val="fr-FR"/>
        </w:rPr>
        <w:t>Delattre</w:t>
      </w:r>
      <w:r w:rsidRPr="00F14B54">
        <w:rPr>
          <w:szCs w:val="18"/>
          <w:lang w:val="fr-FR"/>
        </w:rPr>
        <w:t xml:space="preserve"> et E. </w:t>
      </w:r>
      <w:r w:rsidRPr="00F14B54">
        <w:rPr>
          <w:smallCaps/>
          <w:szCs w:val="18"/>
          <w:lang w:val="fr-FR"/>
        </w:rPr>
        <w:t>Etienne-Martin</w:t>
      </w:r>
      <w:r w:rsidRPr="00F14B54">
        <w:rPr>
          <w:szCs w:val="18"/>
          <w:lang w:val="fr-FR"/>
        </w:rPr>
        <w:t xml:space="preserve"> </w:t>
      </w:r>
      <w:r w:rsidRPr="00F14B54">
        <w:rPr>
          <w:i/>
          <w:szCs w:val="18"/>
          <w:lang w:val="fr-FR"/>
        </w:rPr>
        <w:t>in</w:t>
      </w:r>
      <w:r w:rsidRPr="00F14B54">
        <w:rPr>
          <w:szCs w:val="18"/>
          <w:lang w:val="fr-FR"/>
        </w:rPr>
        <w:t xml:space="preserve"> « Prévention : le mandat </w:t>
      </w:r>
      <w:r w:rsidRPr="00F14B54">
        <w:rPr>
          <w:i/>
          <w:szCs w:val="18"/>
          <w:lang w:val="fr-FR"/>
        </w:rPr>
        <w:t>ad hoc</w:t>
      </w:r>
      <w:r w:rsidRPr="00F14B54">
        <w:rPr>
          <w:szCs w:val="18"/>
          <w:lang w:val="fr-FR"/>
        </w:rPr>
        <w:t xml:space="preserve"> et la conciliation plus efficaces et plus accessibles ? », </w:t>
      </w:r>
      <w:r w:rsidRPr="00F14B54">
        <w:rPr>
          <w:i/>
          <w:szCs w:val="18"/>
          <w:lang w:val="fr-FR"/>
        </w:rPr>
        <w:t xml:space="preserve">in </w:t>
      </w:r>
      <w:r w:rsidRPr="00F14B54">
        <w:rPr>
          <w:szCs w:val="18"/>
          <w:lang w:val="fr-FR"/>
        </w:rPr>
        <w:t xml:space="preserve">2014 : un nouveau souffle pour les procédures collectives, </w:t>
      </w:r>
      <w:r w:rsidRPr="00F14B54">
        <w:rPr>
          <w:i/>
          <w:szCs w:val="18"/>
          <w:lang w:val="fr-FR"/>
        </w:rPr>
        <w:t>Revue des procédures collectives</w:t>
      </w:r>
      <w:r w:rsidRPr="00F14B54">
        <w:rPr>
          <w:szCs w:val="18"/>
          <w:lang w:val="fr-FR"/>
        </w:rPr>
        <w:t>, mars-avril 2014, n°</w:t>
      </w:r>
      <w:r w:rsidR="00A2648B">
        <w:rPr>
          <w:szCs w:val="18"/>
          <w:lang w:val="fr-FR"/>
        </w:rPr>
        <w:t xml:space="preserve"> </w:t>
      </w:r>
      <w:r w:rsidRPr="00F14B54">
        <w:rPr>
          <w:szCs w:val="18"/>
          <w:lang w:val="fr-FR"/>
        </w:rPr>
        <w:t>15, p.</w:t>
      </w:r>
      <w:r w:rsidR="00A2648B">
        <w:rPr>
          <w:szCs w:val="18"/>
          <w:lang w:val="fr-FR"/>
        </w:rPr>
        <w:t xml:space="preserve"> </w:t>
      </w:r>
      <w:r w:rsidRPr="00F14B54">
        <w:rPr>
          <w:szCs w:val="18"/>
          <w:lang w:val="fr-FR"/>
        </w:rPr>
        <w:t xml:space="preserve">37.  </w:t>
      </w:r>
    </w:p>
  </w:footnote>
  <w:footnote w:id="12">
    <w:p w14:paraId="06A135C5" w14:textId="209A484E"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par exemple</w:t>
      </w:r>
      <w:r>
        <w:rPr>
          <w:sz w:val="18"/>
          <w:szCs w:val="18"/>
          <w:lang w:val="fr-FR"/>
        </w:rPr>
        <w:t>,</w:t>
      </w:r>
      <w:r w:rsidRPr="00F14B54">
        <w:rPr>
          <w:sz w:val="18"/>
          <w:szCs w:val="18"/>
          <w:lang w:val="fr-FR"/>
        </w:rPr>
        <w:t xml:space="preserve"> V. </w:t>
      </w:r>
      <w:r w:rsidRPr="00F14B54">
        <w:rPr>
          <w:smallCaps/>
          <w:sz w:val="18"/>
          <w:szCs w:val="18"/>
          <w:lang w:val="fr-FR"/>
        </w:rPr>
        <w:t>Legrand</w:t>
      </w:r>
      <w:r w:rsidRPr="00F14B54">
        <w:rPr>
          <w:sz w:val="18"/>
          <w:szCs w:val="18"/>
          <w:lang w:val="fr-FR"/>
        </w:rPr>
        <w:t xml:space="preserve"> </w:t>
      </w:r>
      <w:r w:rsidRPr="00F14B54">
        <w:rPr>
          <w:i/>
          <w:sz w:val="18"/>
          <w:szCs w:val="18"/>
          <w:lang w:val="fr-FR"/>
        </w:rPr>
        <w:t>in</w:t>
      </w:r>
      <w:r w:rsidRPr="00F14B54">
        <w:rPr>
          <w:sz w:val="18"/>
          <w:szCs w:val="18"/>
          <w:lang w:val="fr-FR"/>
        </w:rPr>
        <w:t xml:space="preserve"> </w:t>
      </w:r>
      <w:r w:rsidRPr="00F14B54">
        <w:rPr>
          <w:i/>
          <w:sz w:val="18"/>
          <w:szCs w:val="18"/>
          <w:lang w:val="fr-FR"/>
        </w:rPr>
        <w:t>EIRL</w:t>
      </w:r>
      <w:r w:rsidRPr="00F14B54">
        <w:rPr>
          <w:sz w:val="18"/>
          <w:szCs w:val="18"/>
          <w:lang w:val="fr-FR"/>
        </w:rPr>
        <w:t>, Edition Delmas, 2011.</w:t>
      </w:r>
    </w:p>
  </w:footnote>
  <w:footnote w:id="13">
    <w:p w14:paraId="719882A8" w14:textId="297D4F35"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en ce sens, </w:t>
      </w:r>
      <w:r w:rsidRPr="00F14B54">
        <w:rPr>
          <w:rFonts w:eastAsia="Times New Roman"/>
          <w:bCs/>
          <w:kern w:val="36"/>
          <w:szCs w:val="18"/>
          <w:lang w:val="fr-FR"/>
        </w:rPr>
        <w:t xml:space="preserve">E. </w:t>
      </w:r>
      <w:r w:rsidRPr="00F14B54">
        <w:rPr>
          <w:rFonts w:eastAsia="Times New Roman"/>
          <w:bCs/>
          <w:smallCaps/>
          <w:kern w:val="36"/>
          <w:szCs w:val="18"/>
          <w:lang w:val="fr-FR"/>
        </w:rPr>
        <w:t>Brocard</w:t>
      </w:r>
      <w:r w:rsidRPr="00F14B54">
        <w:rPr>
          <w:rFonts w:eastAsia="Times New Roman"/>
          <w:bCs/>
          <w:kern w:val="36"/>
          <w:szCs w:val="18"/>
          <w:lang w:val="fr-FR"/>
        </w:rPr>
        <w:t xml:space="preserve"> </w:t>
      </w:r>
      <w:r w:rsidRPr="00F14B54">
        <w:rPr>
          <w:rFonts w:eastAsia="Times New Roman"/>
          <w:bCs/>
          <w:i/>
          <w:kern w:val="36"/>
          <w:szCs w:val="18"/>
          <w:lang w:val="fr-FR"/>
        </w:rPr>
        <w:t xml:space="preserve">in </w:t>
      </w:r>
      <w:r w:rsidRPr="00F14B54">
        <w:rPr>
          <w:rFonts w:eastAsia="Times New Roman"/>
          <w:bCs/>
          <w:kern w:val="36"/>
          <w:szCs w:val="18"/>
          <w:lang w:val="fr-FR"/>
        </w:rPr>
        <w:t xml:space="preserve">« Les stratégies de restructuration des entreprises en difficulté », </w:t>
      </w:r>
      <w:r w:rsidRPr="00F14B54">
        <w:rPr>
          <w:rFonts w:eastAsia="Times New Roman"/>
          <w:i/>
          <w:szCs w:val="18"/>
          <w:lang w:val="fr-FR"/>
        </w:rPr>
        <w:t>Petites affiches</w:t>
      </w:r>
      <w:r w:rsidRPr="00F14B54">
        <w:rPr>
          <w:rFonts w:eastAsia="Times New Roman"/>
          <w:szCs w:val="18"/>
          <w:lang w:val="fr-FR"/>
        </w:rPr>
        <w:t>, 11 mai 2011, n°</w:t>
      </w:r>
      <w:r w:rsidR="00A2648B">
        <w:rPr>
          <w:rFonts w:eastAsia="Times New Roman"/>
          <w:szCs w:val="18"/>
          <w:lang w:val="fr-FR"/>
        </w:rPr>
        <w:t xml:space="preserve"> </w:t>
      </w:r>
      <w:r w:rsidRPr="00F14B54">
        <w:rPr>
          <w:rFonts w:eastAsia="Times New Roman"/>
          <w:szCs w:val="18"/>
          <w:lang w:val="fr-FR"/>
        </w:rPr>
        <w:t>93, p.</w:t>
      </w:r>
      <w:r w:rsidR="00A2648B">
        <w:rPr>
          <w:rFonts w:eastAsia="Times New Roman"/>
          <w:szCs w:val="18"/>
          <w:lang w:val="fr-FR"/>
        </w:rPr>
        <w:t xml:space="preserve"> </w:t>
      </w:r>
      <w:r w:rsidRPr="00F14B54">
        <w:rPr>
          <w:rFonts w:eastAsia="Times New Roman"/>
          <w:szCs w:val="18"/>
          <w:lang w:val="fr-FR"/>
        </w:rPr>
        <w:t xml:space="preserve">4 et </w:t>
      </w:r>
      <w:r w:rsidRPr="00F14B54">
        <w:rPr>
          <w:szCs w:val="18"/>
          <w:lang w:val="fr-FR"/>
        </w:rPr>
        <w:t xml:space="preserve">P. </w:t>
      </w:r>
      <w:proofErr w:type="spellStart"/>
      <w:r w:rsidRPr="00F14B54">
        <w:rPr>
          <w:smallCaps/>
          <w:szCs w:val="18"/>
          <w:lang w:val="fr-FR"/>
        </w:rPr>
        <w:t>Peyramaure</w:t>
      </w:r>
      <w:proofErr w:type="spellEnd"/>
      <w:r w:rsidRPr="00F14B54">
        <w:rPr>
          <w:szCs w:val="18"/>
          <w:lang w:val="fr-FR"/>
        </w:rPr>
        <w:t xml:space="preserve"> </w:t>
      </w:r>
      <w:r w:rsidRPr="00F14B54">
        <w:rPr>
          <w:i/>
          <w:szCs w:val="18"/>
          <w:lang w:val="fr-FR"/>
        </w:rPr>
        <w:t>in</w:t>
      </w:r>
      <w:r w:rsidRPr="00F14B54">
        <w:rPr>
          <w:szCs w:val="18"/>
          <w:lang w:val="fr-FR"/>
        </w:rPr>
        <w:t xml:space="preserve"> « Vers un droit de la restructuration des entreprises en difficulté », </w:t>
      </w:r>
      <w:r w:rsidRPr="00F14B54">
        <w:rPr>
          <w:i/>
          <w:szCs w:val="18"/>
          <w:lang w:val="fr-FR"/>
        </w:rPr>
        <w:t>Petites affiches</w:t>
      </w:r>
      <w:r>
        <w:rPr>
          <w:szCs w:val="18"/>
          <w:lang w:val="fr-FR"/>
        </w:rPr>
        <w:t xml:space="preserve">, 17 février </w:t>
      </w:r>
      <w:r w:rsidRPr="00F14B54">
        <w:rPr>
          <w:szCs w:val="18"/>
          <w:lang w:val="fr-FR"/>
        </w:rPr>
        <w:t>2006, n°</w:t>
      </w:r>
      <w:r w:rsidR="00A2648B">
        <w:rPr>
          <w:szCs w:val="18"/>
          <w:lang w:val="fr-FR"/>
        </w:rPr>
        <w:t xml:space="preserve"> </w:t>
      </w:r>
      <w:r w:rsidRPr="00F14B54">
        <w:rPr>
          <w:szCs w:val="18"/>
          <w:lang w:val="fr-FR"/>
        </w:rPr>
        <w:t>35, p.</w:t>
      </w:r>
      <w:r w:rsidR="00A2648B">
        <w:rPr>
          <w:szCs w:val="18"/>
          <w:lang w:val="fr-FR"/>
        </w:rPr>
        <w:t xml:space="preserve"> </w:t>
      </w:r>
      <w:r w:rsidRPr="00F14B54">
        <w:rPr>
          <w:szCs w:val="18"/>
          <w:lang w:val="fr-FR"/>
        </w:rPr>
        <w:t>36.</w:t>
      </w:r>
    </w:p>
  </w:footnote>
  <w:footnote w:id="14">
    <w:p w14:paraId="02D95ACD" w14:textId="475464D8"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H. </w:t>
      </w:r>
      <w:proofErr w:type="spellStart"/>
      <w:r w:rsidRPr="00F14B54">
        <w:rPr>
          <w:smallCaps/>
          <w:szCs w:val="18"/>
          <w:lang w:val="fr-FR"/>
        </w:rPr>
        <w:t>Croze</w:t>
      </w:r>
      <w:proofErr w:type="spellEnd"/>
      <w:r w:rsidRPr="00F14B54">
        <w:rPr>
          <w:smallCaps/>
          <w:szCs w:val="18"/>
          <w:lang w:val="fr-FR"/>
        </w:rPr>
        <w:t xml:space="preserve"> </w:t>
      </w:r>
      <w:r w:rsidRPr="00F14B54">
        <w:rPr>
          <w:i/>
          <w:szCs w:val="18"/>
          <w:lang w:val="fr-FR"/>
        </w:rPr>
        <w:t>in</w:t>
      </w:r>
      <w:r w:rsidRPr="00F14B54">
        <w:rPr>
          <w:szCs w:val="18"/>
          <w:lang w:val="fr-FR"/>
        </w:rPr>
        <w:t xml:space="preserve"> « Mandat </w:t>
      </w:r>
      <w:r w:rsidRPr="00F14B54">
        <w:rPr>
          <w:i/>
          <w:szCs w:val="18"/>
          <w:lang w:val="fr-FR"/>
        </w:rPr>
        <w:t>ad hoc</w:t>
      </w:r>
      <w:r w:rsidRPr="00F14B54">
        <w:rPr>
          <w:szCs w:val="18"/>
          <w:lang w:val="fr-FR"/>
        </w:rPr>
        <w:t xml:space="preserve"> et procédure de conciliation », </w:t>
      </w:r>
      <w:r w:rsidRPr="00F14B54">
        <w:rPr>
          <w:i/>
          <w:szCs w:val="18"/>
          <w:lang w:val="fr-FR"/>
        </w:rPr>
        <w:t>Procédures</w:t>
      </w:r>
      <w:r w:rsidRPr="00F14B54">
        <w:rPr>
          <w:szCs w:val="18"/>
          <w:lang w:val="fr-FR"/>
        </w:rPr>
        <w:t>, 2005, Étude 12, n°</w:t>
      </w:r>
      <w:r w:rsidR="00A2648B">
        <w:rPr>
          <w:szCs w:val="18"/>
          <w:lang w:val="fr-FR"/>
        </w:rPr>
        <w:t xml:space="preserve"> </w:t>
      </w:r>
      <w:r w:rsidRPr="00F14B54">
        <w:rPr>
          <w:szCs w:val="18"/>
          <w:lang w:val="fr-FR"/>
        </w:rPr>
        <w:t xml:space="preserve">9. </w:t>
      </w:r>
    </w:p>
  </w:footnote>
  <w:footnote w:id="15">
    <w:p w14:paraId="677D1002" w14:textId="60BDDDA0"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notamment P. </w:t>
      </w:r>
      <w:r w:rsidR="0096139F">
        <w:rPr>
          <w:smallCaps/>
          <w:szCs w:val="18"/>
          <w:lang w:val="fr-FR"/>
        </w:rPr>
        <w:t>Roussel</w:t>
      </w:r>
      <w:r w:rsidRPr="00F14B54">
        <w:rPr>
          <w:smallCaps/>
          <w:szCs w:val="18"/>
          <w:lang w:val="fr-FR"/>
        </w:rPr>
        <w:t>-Galle</w:t>
      </w:r>
      <w:r w:rsidRPr="00F14B54">
        <w:rPr>
          <w:szCs w:val="18"/>
          <w:lang w:val="fr-FR"/>
        </w:rPr>
        <w:t xml:space="preserve"> </w:t>
      </w:r>
      <w:r w:rsidRPr="00F14B54">
        <w:rPr>
          <w:i/>
          <w:szCs w:val="18"/>
          <w:lang w:val="fr-FR"/>
        </w:rPr>
        <w:t>in</w:t>
      </w:r>
      <w:r w:rsidRPr="00F14B54">
        <w:rPr>
          <w:szCs w:val="18"/>
          <w:lang w:val="fr-FR"/>
        </w:rPr>
        <w:t xml:space="preserve"> « La procédure de sauvegarde. Quand et pourquoi se mettre sous la protection de la justice », </w:t>
      </w:r>
      <w:r w:rsidRPr="00F14B54">
        <w:rPr>
          <w:i/>
          <w:szCs w:val="18"/>
          <w:lang w:val="fr-FR"/>
        </w:rPr>
        <w:t>JCP E</w:t>
      </w:r>
      <w:r w:rsidRPr="00F14B54">
        <w:rPr>
          <w:szCs w:val="18"/>
          <w:lang w:val="fr-FR"/>
        </w:rPr>
        <w:t xml:space="preserve"> 2006, 2437.</w:t>
      </w:r>
    </w:p>
  </w:footnote>
  <w:footnote w:id="16">
    <w:p w14:paraId="1F03E794" w14:textId="6ECDA104" w:rsidR="008057AA" w:rsidRPr="000056D9" w:rsidRDefault="008057AA" w:rsidP="000056D9">
      <w:pPr>
        <w:pStyle w:val="Sansinterligne"/>
        <w:rPr>
          <w:sz w:val="18"/>
          <w:szCs w:val="18"/>
        </w:rPr>
      </w:pPr>
      <w:r w:rsidRPr="000056D9">
        <w:rPr>
          <w:rStyle w:val="Marquenotebasdepage"/>
          <w:sz w:val="18"/>
          <w:szCs w:val="18"/>
        </w:rPr>
        <w:footnoteRef/>
      </w:r>
      <w:r w:rsidRPr="000056D9">
        <w:rPr>
          <w:sz w:val="18"/>
          <w:szCs w:val="18"/>
        </w:rPr>
        <w:t xml:space="preserve"> </w:t>
      </w:r>
      <w:proofErr w:type="spellStart"/>
      <w:r w:rsidR="000056D9">
        <w:rPr>
          <w:sz w:val="18"/>
          <w:szCs w:val="18"/>
        </w:rPr>
        <w:t>Voir</w:t>
      </w:r>
      <w:proofErr w:type="spellEnd"/>
      <w:r w:rsidR="000056D9">
        <w:rPr>
          <w:sz w:val="18"/>
          <w:szCs w:val="18"/>
        </w:rPr>
        <w:t xml:space="preserve"> R. BONHOMME </w:t>
      </w:r>
      <w:proofErr w:type="gramStart"/>
      <w:r w:rsidR="000056D9" w:rsidRPr="000056D9">
        <w:rPr>
          <w:sz w:val="18"/>
          <w:szCs w:val="18"/>
        </w:rPr>
        <w:t>et</w:t>
      </w:r>
      <w:proofErr w:type="gramEnd"/>
      <w:r w:rsidR="000056D9" w:rsidRPr="000056D9">
        <w:rPr>
          <w:sz w:val="18"/>
          <w:szCs w:val="18"/>
        </w:rPr>
        <w:t xml:space="preserve"> </w:t>
      </w:r>
      <w:r w:rsidR="000056D9">
        <w:rPr>
          <w:sz w:val="18"/>
          <w:szCs w:val="18"/>
        </w:rPr>
        <w:t xml:space="preserve">F. </w:t>
      </w:r>
      <w:r w:rsidR="000056D9" w:rsidRPr="000056D9">
        <w:rPr>
          <w:sz w:val="18"/>
          <w:szCs w:val="18"/>
        </w:rPr>
        <w:t xml:space="preserve">PEROCHON </w:t>
      </w:r>
      <w:r w:rsidR="000056D9" w:rsidRPr="000056D9">
        <w:rPr>
          <w:i/>
          <w:sz w:val="18"/>
          <w:szCs w:val="18"/>
        </w:rPr>
        <w:t xml:space="preserve">in </w:t>
      </w:r>
      <w:proofErr w:type="spellStart"/>
      <w:r w:rsidR="000056D9" w:rsidRPr="000056D9">
        <w:rPr>
          <w:i/>
          <w:sz w:val="18"/>
          <w:szCs w:val="18"/>
        </w:rPr>
        <w:t>Entreprises</w:t>
      </w:r>
      <w:proofErr w:type="spellEnd"/>
      <w:r w:rsidR="000056D9" w:rsidRPr="000056D9">
        <w:rPr>
          <w:i/>
          <w:sz w:val="18"/>
          <w:szCs w:val="18"/>
        </w:rPr>
        <w:t xml:space="preserve"> en </w:t>
      </w:r>
      <w:proofErr w:type="spellStart"/>
      <w:r w:rsidR="000056D9" w:rsidRPr="000056D9">
        <w:rPr>
          <w:i/>
          <w:sz w:val="18"/>
          <w:szCs w:val="18"/>
        </w:rPr>
        <w:t>difficulté</w:t>
      </w:r>
      <w:proofErr w:type="spellEnd"/>
      <w:r w:rsidR="000056D9" w:rsidRPr="000056D9">
        <w:rPr>
          <w:i/>
          <w:sz w:val="18"/>
          <w:szCs w:val="18"/>
        </w:rPr>
        <w:t xml:space="preserve">, Instruments de </w:t>
      </w:r>
      <w:proofErr w:type="spellStart"/>
      <w:r w:rsidR="000056D9" w:rsidRPr="000056D9">
        <w:rPr>
          <w:i/>
          <w:sz w:val="18"/>
          <w:szCs w:val="18"/>
        </w:rPr>
        <w:t>crédit</w:t>
      </w:r>
      <w:proofErr w:type="spellEnd"/>
      <w:r w:rsidR="000056D9" w:rsidRPr="000056D9">
        <w:rPr>
          <w:i/>
          <w:sz w:val="18"/>
          <w:szCs w:val="18"/>
        </w:rPr>
        <w:t xml:space="preserve"> et de </w:t>
      </w:r>
      <w:proofErr w:type="spellStart"/>
      <w:r w:rsidR="000056D9" w:rsidRPr="000056D9">
        <w:rPr>
          <w:i/>
          <w:sz w:val="18"/>
          <w:szCs w:val="18"/>
        </w:rPr>
        <w:t>paiement</w:t>
      </w:r>
      <w:proofErr w:type="spellEnd"/>
      <w:r w:rsidR="000056D9" w:rsidRPr="000056D9">
        <w:rPr>
          <w:sz w:val="18"/>
          <w:szCs w:val="18"/>
        </w:rPr>
        <w:t xml:space="preserve">, LGDJ, collection </w:t>
      </w:r>
      <w:proofErr w:type="spellStart"/>
      <w:r w:rsidR="000056D9" w:rsidRPr="000056D9">
        <w:rPr>
          <w:sz w:val="18"/>
          <w:szCs w:val="18"/>
        </w:rPr>
        <w:t>Manuels</w:t>
      </w:r>
      <w:proofErr w:type="spellEnd"/>
      <w:r w:rsidR="000056D9" w:rsidRPr="000056D9">
        <w:rPr>
          <w:sz w:val="18"/>
          <w:szCs w:val="18"/>
        </w:rPr>
        <w:t>, 9</w:t>
      </w:r>
      <w:r w:rsidR="000056D9" w:rsidRPr="000056D9">
        <w:rPr>
          <w:sz w:val="18"/>
          <w:szCs w:val="18"/>
          <w:vertAlign w:val="superscript"/>
        </w:rPr>
        <w:t>ème</w:t>
      </w:r>
      <w:r w:rsidR="000056D9" w:rsidRPr="000056D9">
        <w:rPr>
          <w:sz w:val="18"/>
          <w:szCs w:val="18"/>
        </w:rPr>
        <w:t xml:space="preserve"> </w:t>
      </w:r>
      <w:proofErr w:type="spellStart"/>
      <w:r w:rsidR="000056D9" w:rsidRPr="000056D9">
        <w:rPr>
          <w:sz w:val="18"/>
          <w:szCs w:val="18"/>
        </w:rPr>
        <w:t>édition</w:t>
      </w:r>
      <w:proofErr w:type="spellEnd"/>
      <w:r w:rsidR="000056D9" w:rsidRPr="000056D9">
        <w:rPr>
          <w:sz w:val="18"/>
          <w:szCs w:val="18"/>
        </w:rPr>
        <w:t>, 2011.</w:t>
      </w:r>
    </w:p>
  </w:footnote>
  <w:footnote w:id="17">
    <w:p w14:paraId="43DC1D02" w14:textId="2FE3C9F2" w:rsidR="00704A68" w:rsidRPr="00F14B54" w:rsidRDefault="00704A68" w:rsidP="0069582B">
      <w:pPr>
        <w:pStyle w:val="Notedebasdepage"/>
        <w:contextualSpacing/>
        <w:rPr>
          <w:szCs w:val="18"/>
          <w:lang w:val="fr-FR"/>
        </w:rPr>
      </w:pPr>
      <w:r w:rsidRPr="00F14B54">
        <w:rPr>
          <w:rStyle w:val="Marquenotebasdepage"/>
          <w:szCs w:val="18"/>
        </w:rPr>
        <w:footnoteRef/>
      </w:r>
      <w:r>
        <w:rPr>
          <w:szCs w:val="18"/>
          <w:lang w:val="fr-FR"/>
        </w:rPr>
        <w:t xml:space="preserve"> Voir notamment </w:t>
      </w:r>
      <w:r w:rsidRPr="00F14B54">
        <w:rPr>
          <w:szCs w:val="18"/>
          <w:lang w:val="fr-FR"/>
        </w:rPr>
        <w:t xml:space="preserve">G. </w:t>
      </w:r>
      <w:r w:rsidRPr="00F14B54">
        <w:rPr>
          <w:smallCaps/>
          <w:szCs w:val="18"/>
          <w:lang w:val="fr-FR"/>
        </w:rPr>
        <w:t>Couturier</w:t>
      </w:r>
      <w:r w:rsidRPr="00F14B54">
        <w:rPr>
          <w:i/>
          <w:szCs w:val="18"/>
          <w:lang w:val="fr-FR"/>
        </w:rPr>
        <w:t xml:space="preserve"> in</w:t>
      </w:r>
      <w:r w:rsidRPr="00F14B54">
        <w:rPr>
          <w:szCs w:val="18"/>
          <w:lang w:val="fr-FR"/>
        </w:rPr>
        <w:t xml:space="preserve"> « Le plan de cession, instrument de restructuration des entreprises défaillantes », </w:t>
      </w:r>
      <w:r w:rsidRPr="00F14B54">
        <w:rPr>
          <w:i/>
          <w:szCs w:val="18"/>
          <w:lang w:val="fr-FR"/>
        </w:rPr>
        <w:t>Bulletin Joly</w:t>
      </w:r>
      <w:r w:rsidRPr="00F14B54">
        <w:rPr>
          <w:szCs w:val="18"/>
          <w:lang w:val="fr-FR"/>
        </w:rPr>
        <w:t xml:space="preserve">, 2008, 142. </w:t>
      </w:r>
    </w:p>
  </w:footnote>
  <w:footnote w:id="18">
    <w:p w14:paraId="6E519F01" w14:textId="135FB28B"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D. </w:t>
      </w:r>
      <w:proofErr w:type="spellStart"/>
      <w:r w:rsidRPr="00F14B54">
        <w:rPr>
          <w:smallCaps/>
          <w:szCs w:val="18"/>
          <w:lang w:val="fr-FR"/>
        </w:rPr>
        <w:t>Voinot</w:t>
      </w:r>
      <w:proofErr w:type="spellEnd"/>
      <w:r w:rsidRPr="00F14B54">
        <w:rPr>
          <w:szCs w:val="18"/>
          <w:lang w:val="fr-FR"/>
        </w:rPr>
        <w:t xml:space="preserve"> </w:t>
      </w:r>
      <w:r w:rsidRPr="00F14B54">
        <w:rPr>
          <w:i/>
          <w:szCs w:val="18"/>
          <w:lang w:val="fr-FR"/>
        </w:rPr>
        <w:t xml:space="preserve">in </w:t>
      </w:r>
      <w:r w:rsidRPr="005B1987">
        <w:rPr>
          <w:i/>
          <w:szCs w:val="18"/>
          <w:lang w:val="fr-FR"/>
        </w:rPr>
        <w:t>Procédures collectives</w:t>
      </w:r>
      <w:r w:rsidRPr="00F14B54">
        <w:rPr>
          <w:szCs w:val="18"/>
          <w:lang w:val="fr-FR"/>
        </w:rPr>
        <w:t xml:space="preserve">, </w:t>
      </w:r>
      <w:r w:rsidRPr="005B1987">
        <w:rPr>
          <w:szCs w:val="18"/>
          <w:lang w:val="fr-FR"/>
        </w:rPr>
        <w:t>Montchrestien</w:t>
      </w:r>
      <w:r w:rsidRPr="00F14B54">
        <w:rPr>
          <w:szCs w:val="18"/>
          <w:lang w:val="fr-FR"/>
        </w:rPr>
        <w:t xml:space="preserve">, collection « Cours », 2011. </w:t>
      </w:r>
    </w:p>
  </w:footnote>
  <w:footnote w:id="19">
    <w:p w14:paraId="20F09444" w14:textId="1E17EBF2" w:rsidR="0021647B" w:rsidRPr="0021647B" w:rsidRDefault="0021647B" w:rsidP="0021647B">
      <w:pPr>
        <w:pStyle w:val="Sansinterligne"/>
        <w:rPr>
          <w:sz w:val="18"/>
          <w:szCs w:val="18"/>
        </w:rPr>
      </w:pPr>
      <w:r w:rsidRPr="0021647B">
        <w:rPr>
          <w:rStyle w:val="Marquenotebasdepage"/>
          <w:sz w:val="18"/>
          <w:szCs w:val="18"/>
        </w:rPr>
        <w:footnoteRef/>
      </w:r>
      <w:r w:rsidRPr="0021647B">
        <w:rPr>
          <w:sz w:val="18"/>
          <w:szCs w:val="18"/>
        </w:rPr>
        <w:t xml:space="preserve"> </w:t>
      </w:r>
      <w:proofErr w:type="spellStart"/>
      <w:r>
        <w:rPr>
          <w:sz w:val="18"/>
          <w:szCs w:val="18"/>
        </w:rPr>
        <w:t>Voir</w:t>
      </w:r>
      <w:proofErr w:type="spellEnd"/>
      <w:r>
        <w:rPr>
          <w:sz w:val="18"/>
          <w:szCs w:val="18"/>
        </w:rPr>
        <w:t xml:space="preserve"> M-L.COQUELET </w:t>
      </w:r>
      <w:r w:rsidRPr="0021647B">
        <w:rPr>
          <w:i/>
          <w:sz w:val="18"/>
          <w:szCs w:val="18"/>
        </w:rPr>
        <w:t xml:space="preserve">in </w:t>
      </w:r>
      <w:proofErr w:type="spellStart"/>
      <w:r w:rsidRPr="0021647B">
        <w:rPr>
          <w:i/>
          <w:sz w:val="18"/>
          <w:szCs w:val="18"/>
        </w:rPr>
        <w:t>Entreprises</w:t>
      </w:r>
      <w:proofErr w:type="spellEnd"/>
      <w:r w:rsidRPr="0021647B">
        <w:rPr>
          <w:i/>
          <w:sz w:val="18"/>
          <w:szCs w:val="18"/>
        </w:rPr>
        <w:t xml:space="preserve"> en </w:t>
      </w:r>
      <w:proofErr w:type="spellStart"/>
      <w:r w:rsidRPr="0021647B">
        <w:rPr>
          <w:i/>
          <w:sz w:val="18"/>
          <w:szCs w:val="18"/>
        </w:rPr>
        <w:t>difficulté</w:t>
      </w:r>
      <w:proofErr w:type="spellEnd"/>
      <w:r w:rsidRPr="0021647B">
        <w:rPr>
          <w:sz w:val="18"/>
          <w:szCs w:val="18"/>
        </w:rPr>
        <w:t xml:space="preserve">, </w:t>
      </w:r>
      <w:proofErr w:type="spellStart"/>
      <w:r w:rsidRPr="0021647B">
        <w:rPr>
          <w:sz w:val="18"/>
          <w:szCs w:val="18"/>
        </w:rPr>
        <w:t>Dalloz</w:t>
      </w:r>
      <w:proofErr w:type="spellEnd"/>
      <w:r w:rsidRPr="0021647B">
        <w:rPr>
          <w:sz w:val="18"/>
          <w:szCs w:val="18"/>
        </w:rPr>
        <w:t xml:space="preserve">, Collection Hyper </w:t>
      </w:r>
      <w:proofErr w:type="spellStart"/>
      <w:r w:rsidRPr="0021647B">
        <w:rPr>
          <w:sz w:val="18"/>
          <w:szCs w:val="18"/>
        </w:rPr>
        <w:t>Cours</w:t>
      </w:r>
      <w:proofErr w:type="spellEnd"/>
      <w:r w:rsidRPr="0021647B">
        <w:rPr>
          <w:sz w:val="18"/>
          <w:szCs w:val="18"/>
        </w:rPr>
        <w:t>, 4</w:t>
      </w:r>
      <w:r w:rsidRPr="0021647B">
        <w:rPr>
          <w:sz w:val="18"/>
          <w:szCs w:val="18"/>
          <w:vertAlign w:val="superscript"/>
        </w:rPr>
        <w:t>ème</w:t>
      </w:r>
      <w:r w:rsidRPr="0021647B">
        <w:rPr>
          <w:sz w:val="18"/>
          <w:szCs w:val="18"/>
        </w:rPr>
        <w:t xml:space="preserve"> </w:t>
      </w:r>
      <w:proofErr w:type="spellStart"/>
      <w:r w:rsidRPr="0021647B">
        <w:rPr>
          <w:sz w:val="18"/>
          <w:szCs w:val="18"/>
        </w:rPr>
        <w:t>édition</w:t>
      </w:r>
      <w:proofErr w:type="spellEnd"/>
      <w:r w:rsidRPr="0021647B">
        <w:rPr>
          <w:sz w:val="18"/>
          <w:szCs w:val="18"/>
        </w:rPr>
        <w:t>, 2011</w:t>
      </w:r>
      <w:r w:rsidR="004361AC">
        <w:rPr>
          <w:sz w:val="18"/>
          <w:szCs w:val="18"/>
        </w:rPr>
        <w:t>.</w:t>
      </w:r>
    </w:p>
  </w:footnote>
  <w:footnote w:id="20">
    <w:p w14:paraId="4C4DDBEE" w14:textId="1979E091"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En ce sens, voir T. </w:t>
      </w:r>
      <w:proofErr w:type="spellStart"/>
      <w:r w:rsidRPr="00F14B54">
        <w:rPr>
          <w:smallCaps/>
          <w:szCs w:val="18"/>
          <w:lang w:val="fr-FR"/>
        </w:rPr>
        <w:t>Monteran</w:t>
      </w:r>
      <w:proofErr w:type="spellEnd"/>
      <w:r w:rsidRPr="00F14B54">
        <w:rPr>
          <w:szCs w:val="18"/>
          <w:lang w:val="fr-FR"/>
        </w:rPr>
        <w:t xml:space="preserve"> </w:t>
      </w:r>
      <w:r w:rsidRPr="00F14B54">
        <w:rPr>
          <w:i/>
          <w:szCs w:val="18"/>
          <w:lang w:val="fr-FR"/>
        </w:rPr>
        <w:t>in</w:t>
      </w:r>
      <w:r w:rsidRPr="00F14B54">
        <w:rPr>
          <w:szCs w:val="18"/>
          <w:lang w:val="fr-FR"/>
        </w:rPr>
        <w:t xml:space="preserve"> « Les entreprises en difficulté : terre de conflits. Synthèse des intérêts contraires », </w:t>
      </w:r>
      <w:r w:rsidRPr="00F14B54">
        <w:rPr>
          <w:i/>
          <w:szCs w:val="18"/>
          <w:lang w:val="fr-FR"/>
        </w:rPr>
        <w:t>Gazette du Palais</w:t>
      </w:r>
      <w:r w:rsidRPr="00F14B54">
        <w:rPr>
          <w:szCs w:val="18"/>
          <w:lang w:val="fr-FR"/>
        </w:rPr>
        <w:t>, 26/06/2008, n°</w:t>
      </w:r>
      <w:r w:rsidR="00A2648B">
        <w:rPr>
          <w:szCs w:val="18"/>
          <w:lang w:val="fr-FR"/>
        </w:rPr>
        <w:t xml:space="preserve"> </w:t>
      </w:r>
      <w:r w:rsidRPr="00F14B54">
        <w:rPr>
          <w:szCs w:val="18"/>
          <w:lang w:val="fr-FR"/>
        </w:rPr>
        <w:t>178, p.</w:t>
      </w:r>
      <w:r w:rsidR="00A2648B">
        <w:rPr>
          <w:szCs w:val="18"/>
          <w:lang w:val="fr-FR"/>
        </w:rPr>
        <w:t xml:space="preserve"> </w:t>
      </w:r>
      <w:r w:rsidRPr="00F14B54">
        <w:rPr>
          <w:szCs w:val="18"/>
          <w:lang w:val="fr-FR"/>
        </w:rPr>
        <w:t xml:space="preserve">27. </w:t>
      </w:r>
    </w:p>
  </w:footnote>
  <w:footnote w:id="21">
    <w:p w14:paraId="61FB08F5" w14:textId="304F64F1" w:rsidR="00704A68" w:rsidRPr="00F14B54" w:rsidRDefault="00704A68" w:rsidP="0069582B">
      <w:pPr>
        <w:pStyle w:val="Sansinterligne"/>
        <w:contextualSpacing/>
        <w:rPr>
          <w:rFonts w:eastAsia="Times New Roman"/>
          <w:sz w:val="18"/>
          <w:szCs w:val="18"/>
          <w:lang w:val="fr-FR"/>
        </w:rPr>
      </w:pPr>
      <w:r w:rsidRPr="00F14B54">
        <w:rPr>
          <w:rStyle w:val="Marquenotebasdepage"/>
          <w:sz w:val="18"/>
          <w:szCs w:val="18"/>
        </w:rPr>
        <w:footnoteRef/>
      </w:r>
      <w:r w:rsidRPr="00F14B54">
        <w:rPr>
          <w:sz w:val="18"/>
          <w:szCs w:val="18"/>
          <w:lang w:val="fr-FR"/>
        </w:rPr>
        <w:t xml:space="preserve"> Voir en ce sens, G. </w:t>
      </w:r>
      <w:r w:rsidRPr="00F14B54">
        <w:rPr>
          <w:smallCaps/>
          <w:sz w:val="18"/>
          <w:szCs w:val="18"/>
          <w:lang w:val="fr-FR"/>
        </w:rPr>
        <w:t>Teboul</w:t>
      </w:r>
      <w:r w:rsidRPr="00F14B54">
        <w:rPr>
          <w:sz w:val="18"/>
          <w:szCs w:val="18"/>
          <w:lang w:val="fr-FR"/>
        </w:rPr>
        <w:t xml:space="preserve"> </w:t>
      </w:r>
      <w:r w:rsidRPr="00F14B54">
        <w:rPr>
          <w:i/>
          <w:sz w:val="18"/>
          <w:szCs w:val="18"/>
          <w:lang w:val="fr-FR"/>
        </w:rPr>
        <w:t>in</w:t>
      </w:r>
      <w:r w:rsidRPr="00F14B54">
        <w:rPr>
          <w:sz w:val="18"/>
          <w:szCs w:val="18"/>
          <w:lang w:val="fr-FR"/>
        </w:rPr>
        <w:t xml:space="preserve"> </w:t>
      </w:r>
      <w:r w:rsidRPr="00F14B54">
        <w:rPr>
          <w:rFonts w:eastAsia="Times New Roman"/>
          <w:bCs/>
          <w:kern w:val="36"/>
          <w:sz w:val="18"/>
          <w:szCs w:val="18"/>
          <w:lang w:val="fr-FR"/>
        </w:rPr>
        <w:t>« </w:t>
      </w:r>
      <w:r>
        <w:rPr>
          <w:rFonts w:eastAsia="Times New Roman"/>
          <w:bCs/>
          <w:sz w:val="18"/>
          <w:szCs w:val="18"/>
          <w:lang w:val="fr-FR"/>
        </w:rPr>
        <w:t>Le conflit d’</w:t>
      </w:r>
      <w:r w:rsidRPr="00F14B54">
        <w:rPr>
          <w:rFonts w:eastAsia="Times New Roman"/>
          <w:bCs/>
          <w:sz w:val="18"/>
          <w:szCs w:val="18"/>
          <w:lang w:val="fr-FR"/>
        </w:rPr>
        <w:t xml:space="preserve">intérêts dans les entreprises en difficulté », </w:t>
      </w:r>
      <w:r w:rsidRPr="00F14B54">
        <w:rPr>
          <w:rFonts w:eastAsia="Times New Roman"/>
          <w:i/>
          <w:sz w:val="18"/>
          <w:szCs w:val="18"/>
          <w:lang w:val="fr-FR"/>
        </w:rPr>
        <w:t>Gazette du Palais</w:t>
      </w:r>
      <w:r w:rsidRPr="00F14B54">
        <w:rPr>
          <w:rFonts w:eastAsia="Times New Roman"/>
          <w:sz w:val="18"/>
          <w:szCs w:val="18"/>
          <w:lang w:val="fr-FR"/>
        </w:rPr>
        <w:t>, 8 décembre 2011, n°</w:t>
      </w:r>
      <w:r w:rsidR="00A2648B">
        <w:rPr>
          <w:rFonts w:eastAsia="Times New Roman"/>
          <w:sz w:val="18"/>
          <w:szCs w:val="18"/>
          <w:lang w:val="fr-FR"/>
        </w:rPr>
        <w:t xml:space="preserve"> </w:t>
      </w:r>
      <w:r w:rsidRPr="00F14B54">
        <w:rPr>
          <w:rFonts w:eastAsia="Times New Roman"/>
          <w:sz w:val="18"/>
          <w:szCs w:val="18"/>
          <w:lang w:val="fr-FR"/>
        </w:rPr>
        <w:t>342, p.</w:t>
      </w:r>
      <w:r w:rsidR="00A2648B">
        <w:rPr>
          <w:rFonts w:eastAsia="Times New Roman"/>
          <w:sz w:val="18"/>
          <w:szCs w:val="18"/>
          <w:lang w:val="fr-FR"/>
        </w:rPr>
        <w:t xml:space="preserve"> </w:t>
      </w:r>
      <w:r w:rsidRPr="00F14B54">
        <w:rPr>
          <w:rFonts w:eastAsia="Times New Roman"/>
          <w:sz w:val="18"/>
          <w:szCs w:val="18"/>
          <w:lang w:val="fr-FR"/>
        </w:rPr>
        <w:t>14.</w:t>
      </w:r>
    </w:p>
  </w:footnote>
  <w:footnote w:id="22">
    <w:p w14:paraId="7693947D" w14:textId="65B3A44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en ce sens, G. </w:t>
      </w:r>
      <w:r w:rsidRPr="00F14B54">
        <w:rPr>
          <w:smallCaps/>
          <w:szCs w:val="18"/>
          <w:lang w:val="fr-FR"/>
        </w:rPr>
        <w:t xml:space="preserve">Teboul </w:t>
      </w:r>
      <w:r w:rsidRPr="00F14B54">
        <w:rPr>
          <w:i/>
          <w:szCs w:val="18"/>
          <w:lang w:val="fr-FR"/>
        </w:rPr>
        <w:t xml:space="preserve">in </w:t>
      </w:r>
      <w:r w:rsidRPr="00F14B54">
        <w:rPr>
          <w:szCs w:val="18"/>
          <w:lang w:val="fr-FR"/>
        </w:rPr>
        <w:t xml:space="preserve">« Vers une nouvelle réforme de la prévention des difficultés des entreprises ? Sans cesse sur le métier, remettez votre ouvrage… », </w:t>
      </w:r>
      <w:r w:rsidRPr="00F14B54">
        <w:rPr>
          <w:i/>
          <w:szCs w:val="18"/>
          <w:lang w:val="fr-FR"/>
        </w:rPr>
        <w:t>Bulletin Joly Entreprises en Difficulté</w:t>
      </w:r>
      <w:r w:rsidRPr="00F14B54">
        <w:rPr>
          <w:szCs w:val="18"/>
          <w:lang w:val="fr-FR"/>
        </w:rPr>
        <w:t>, 1</w:t>
      </w:r>
      <w:r w:rsidRPr="00F14B54">
        <w:rPr>
          <w:szCs w:val="18"/>
          <w:vertAlign w:val="superscript"/>
          <w:lang w:val="fr-FR"/>
        </w:rPr>
        <w:t>er</w:t>
      </w:r>
      <w:r w:rsidRPr="00F14B54">
        <w:rPr>
          <w:szCs w:val="18"/>
          <w:lang w:val="fr-FR"/>
        </w:rPr>
        <w:t> mars 2013, n°</w:t>
      </w:r>
      <w:r w:rsidR="00A2648B">
        <w:rPr>
          <w:szCs w:val="18"/>
          <w:lang w:val="fr-FR"/>
        </w:rPr>
        <w:t xml:space="preserve"> </w:t>
      </w:r>
      <w:r w:rsidRPr="00F14B54">
        <w:rPr>
          <w:szCs w:val="18"/>
          <w:lang w:val="fr-FR"/>
        </w:rPr>
        <w:t>2, p.</w:t>
      </w:r>
      <w:r w:rsidR="00A2648B">
        <w:rPr>
          <w:szCs w:val="18"/>
          <w:lang w:val="fr-FR"/>
        </w:rPr>
        <w:t xml:space="preserve"> </w:t>
      </w:r>
      <w:r w:rsidRPr="00F14B54">
        <w:rPr>
          <w:szCs w:val="18"/>
          <w:lang w:val="fr-FR"/>
        </w:rPr>
        <w:t>117.</w:t>
      </w:r>
    </w:p>
  </w:footnote>
  <w:footnote w:id="23">
    <w:p w14:paraId="753462A0" w14:textId="4C8A0B2F" w:rsidR="003D400F" w:rsidRPr="003D400F" w:rsidRDefault="003D400F" w:rsidP="003D400F">
      <w:pPr>
        <w:pStyle w:val="Sansinterligne"/>
        <w:rPr>
          <w:sz w:val="18"/>
          <w:szCs w:val="18"/>
        </w:rPr>
      </w:pPr>
      <w:r w:rsidRPr="003D400F">
        <w:rPr>
          <w:rStyle w:val="Marquenotebasdepage"/>
          <w:sz w:val="18"/>
          <w:szCs w:val="18"/>
        </w:rPr>
        <w:footnoteRef/>
      </w:r>
      <w:r w:rsidRPr="003D400F">
        <w:rPr>
          <w:sz w:val="18"/>
          <w:szCs w:val="18"/>
        </w:rPr>
        <w:t xml:space="preserve"> </w:t>
      </w:r>
      <w:proofErr w:type="spellStart"/>
      <w:r w:rsidRPr="003D400F">
        <w:rPr>
          <w:sz w:val="18"/>
          <w:szCs w:val="18"/>
        </w:rPr>
        <w:t>Voir</w:t>
      </w:r>
      <w:proofErr w:type="spellEnd"/>
      <w:r w:rsidRPr="003D400F">
        <w:rPr>
          <w:sz w:val="18"/>
          <w:szCs w:val="18"/>
        </w:rPr>
        <w:t xml:space="preserve"> en </w:t>
      </w:r>
      <w:proofErr w:type="spellStart"/>
      <w:proofErr w:type="gramStart"/>
      <w:r w:rsidRPr="003D400F">
        <w:rPr>
          <w:sz w:val="18"/>
          <w:szCs w:val="18"/>
        </w:rPr>
        <w:t>ce</w:t>
      </w:r>
      <w:proofErr w:type="spellEnd"/>
      <w:proofErr w:type="gramEnd"/>
      <w:r w:rsidRPr="003D400F">
        <w:rPr>
          <w:sz w:val="18"/>
          <w:szCs w:val="18"/>
        </w:rPr>
        <w:t xml:space="preserve"> </w:t>
      </w:r>
      <w:proofErr w:type="spellStart"/>
      <w:r w:rsidRPr="003D400F">
        <w:rPr>
          <w:sz w:val="18"/>
          <w:szCs w:val="18"/>
        </w:rPr>
        <w:t>sens</w:t>
      </w:r>
      <w:proofErr w:type="spellEnd"/>
      <w:r w:rsidRPr="003D400F">
        <w:rPr>
          <w:sz w:val="18"/>
          <w:szCs w:val="18"/>
        </w:rPr>
        <w:t xml:space="preserve">, </w:t>
      </w:r>
      <w:r>
        <w:rPr>
          <w:sz w:val="18"/>
          <w:szCs w:val="18"/>
        </w:rPr>
        <w:t xml:space="preserve">A. </w:t>
      </w:r>
      <w:r w:rsidRPr="003D400F">
        <w:rPr>
          <w:sz w:val="18"/>
          <w:szCs w:val="18"/>
        </w:rPr>
        <w:t xml:space="preserve">JACQUEMONT </w:t>
      </w:r>
      <w:r w:rsidRPr="003D400F">
        <w:rPr>
          <w:i/>
          <w:sz w:val="18"/>
          <w:szCs w:val="18"/>
        </w:rPr>
        <w:t xml:space="preserve">in </w:t>
      </w:r>
      <w:proofErr w:type="spellStart"/>
      <w:r w:rsidRPr="003D400F">
        <w:rPr>
          <w:i/>
          <w:sz w:val="18"/>
          <w:szCs w:val="18"/>
        </w:rPr>
        <w:t>Droit</w:t>
      </w:r>
      <w:proofErr w:type="spellEnd"/>
      <w:r w:rsidRPr="003D400F">
        <w:rPr>
          <w:i/>
          <w:sz w:val="18"/>
          <w:szCs w:val="18"/>
        </w:rPr>
        <w:t xml:space="preserve"> des </w:t>
      </w:r>
      <w:proofErr w:type="spellStart"/>
      <w:r w:rsidRPr="003D400F">
        <w:rPr>
          <w:i/>
          <w:sz w:val="18"/>
          <w:szCs w:val="18"/>
        </w:rPr>
        <w:t>entreprises</w:t>
      </w:r>
      <w:proofErr w:type="spellEnd"/>
      <w:r w:rsidRPr="003D400F">
        <w:rPr>
          <w:i/>
          <w:sz w:val="18"/>
          <w:szCs w:val="18"/>
        </w:rPr>
        <w:t xml:space="preserve"> en </w:t>
      </w:r>
      <w:proofErr w:type="spellStart"/>
      <w:r w:rsidRPr="003D400F">
        <w:rPr>
          <w:i/>
          <w:sz w:val="18"/>
          <w:szCs w:val="18"/>
        </w:rPr>
        <w:t>difficulté</w:t>
      </w:r>
      <w:proofErr w:type="spellEnd"/>
      <w:r w:rsidRPr="003D400F">
        <w:rPr>
          <w:sz w:val="18"/>
          <w:szCs w:val="18"/>
        </w:rPr>
        <w:t xml:space="preserve">, </w:t>
      </w:r>
      <w:proofErr w:type="spellStart"/>
      <w:r w:rsidRPr="003D400F">
        <w:rPr>
          <w:sz w:val="18"/>
          <w:szCs w:val="18"/>
        </w:rPr>
        <w:t>Litec</w:t>
      </w:r>
      <w:proofErr w:type="spellEnd"/>
      <w:r w:rsidRPr="003D400F">
        <w:rPr>
          <w:sz w:val="18"/>
          <w:szCs w:val="18"/>
        </w:rPr>
        <w:t>, 7</w:t>
      </w:r>
      <w:r w:rsidRPr="003D400F">
        <w:rPr>
          <w:sz w:val="18"/>
          <w:szCs w:val="18"/>
          <w:vertAlign w:val="superscript"/>
        </w:rPr>
        <w:t>ème</w:t>
      </w:r>
      <w:r w:rsidRPr="003D400F">
        <w:rPr>
          <w:sz w:val="18"/>
          <w:szCs w:val="18"/>
        </w:rPr>
        <w:t xml:space="preserve"> </w:t>
      </w:r>
      <w:proofErr w:type="spellStart"/>
      <w:r w:rsidRPr="003D400F">
        <w:rPr>
          <w:sz w:val="18"/>
          <w:szCs w:val="18"/>
        </w:rPr>
        <w:t>édition</w:t>
      </w:r>
      <w:proofErr w:type="spellEnd"/>
      <w:r w:rsidRPr="003D400F">
        <w:rPr>
          <w:sz w:val="18"/>
          <w:szCs w:val="18"/>
        </w:rPr>
        <w:t>, 2011.</w:t>
      </w:r>
    </w:p>
  </w:footnote>
  <w:footnote w:id="24">
    <w:p w14:paraId="16B4786C" w14:textId="6920A474" w:rsidR="00704A68" w:rsidRPr="00F14B54" w:rsidRDefault="00704A68" w:rsidP="0069582B">
      <w:pPr>
        <w:tabs>
          <w:tab w:val="left" w:pos="3896"/>
        </w:tabs>
        <w:contextualSpacing/>
        <w:rPr>
          <w:sz w:val="18"/>
          <w:szCs w:val="18"/>
          <w:lang w:val="fr-FR"/>
        </w:rPr>
      </w:pPr>
      <w:r w:rsidRPr="00F14B54">
        <w:rPr>
          <w:rStyle w:val="Marquenotebasdepage"/>
          <w:sz w:val="18"/>
          <w:szCs w:val="18"/>
        </w:rPr>
        <w:footnoteRef/>
      </w:r>
      <w:r w:rsidRPr="00F14B54">
        <w:rPr>
          <w:sz w:val="18"/>
          <w:szCs w:val="18"/>
          <w:lang w:val="fr-FR"/>
        </w:rPr>
        <w:t xml:space="preserve"> Cet objectif de restructuration est au fondement même de l’altération des autres branches du droit. Il la </w:t>
      </w:r>
      <w:proofErr w:type="spellStart"/>
      <w:r w:rsidRPr="00F14B54">
        <w:rPr>
          <w:sz w:val="18"/>
          <w:szCs w:val="18"/>
          <w:lang w:val="fr-FR"/>
        </w:rPr>
        <w:t>légitimise</w:t>
      </w:r>
      <w:proofErr w:type="spellEnd"/>
      <w:r w:rsidRPr="00F14B54">
        <w:rPr>
          <w:sz w:val="18"/>
          <w:szCs w:val="18"/>
          <w:lang w:val="fr-FR"/>
        </w:rPr>
        <w:t xml:space="preserve">. En ce sens, F-X. </w:t>
      </w:r>
      <w:r w:rsidRPr="00F14B54">
        <w:rPr>
          <w:smallCaps/>
          <w:sz w:val="18"/>
          <w:szCs w:val="18"/>
          <w:lang w:val="fr-FR"/>
        </w:rPr>
        <w:t>Lucas</w:t>
      </w:r>
      <w:r w:rsidRPr="00F14B54">
        <w:rPr>
          <w:i/>
          <w:sz w:val="18"/>
          <w:szCs w:val="18"/>
          <w:lang w:val="fr-FR"/>
        </w:rPr>
        <w:t xml:space="preserve"> in Manuel de droit de la faillite</w:t>
      </w:r>
      <w:r w:rsidRPr="00F14B54">
        <w:rPr>
          <w:sz w:val="18"/>
          <w:szCs w:val="18"/>
          <w:lang w:val="fr-FR"/>
        </w:rPr>
        <w:t>, Presses Universitaires de France (P.U.F), Collection Droit fondamental, 1</w:t>
      </w:r>
      <w:r w:rsidRPr="00F14B54">
        <w:rPr>
          <w:sz w:val="18"/>
          <w:szCs w:val="18"/>
          <w:vertAlign w:val="superscript"/>
          <w:lang w:val="fr-FR"/>
        </w:rPr>
        <w:t>ère</w:t>
      </w:r>
      <w:r w:rsidRPr="00F14B54">
        <w:rPr>
          <w:sz w:val="18"/>
          <w:szCs w:val="18"/>
          <w:lang w:val="fr-FR"/>
        </w:rPr>
        <w:t xml:space="preserve"> édition, Novembre 2016.</w:t>
      </w:r>
    </w:p>
  </w:footnote>
  <w:footnote w:id="25">
    <w:p w14:paraId="247C8833" w14:textId="2451F3F2"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P. </w:t>
      </w:r>
      <w:proofErr w:type="spellStart"/>
      <w:r w:rsidRPr="00F14B54">
        <w:rPr>
          <w:smallCaps/>
          <w:szCs w:val="18"/>
          <w:lang w:val="fr-FR"/>
        </w:rPr>
        <w:t>Pétel</w:t>
      </w:r>
      <w:proofErr w:type="spellEnd"/>
      <w:r w:rsidRPr="00F14B54">
        <w:rPr>
          <w:szCs w:val="18"/>
          <w:lang w:val="fr-FR"/>
        </w:rPr>
        <w:t xml:space="preserve"> </w:t>
      </w:r>
      <w:r w:rsidRPr="00F14B54">
        <w:rPr>
          <w:i/>
          <w:szCs w:val="18"/>
          <w:lang w:val="fr-FR"/>
        </w:rPr>
        <w:t>in Procédures collectives</w:t>
      </w:r>
      <w:r w:rsidRPr="00F14B54">
        <w:rPr>
          <w:szCs w:val="18"/>
          <w:lang w:val="fr-FR"/>
        </w:rPr>
        <w:t>, 8</w:t>
      </w:r>
      <w:r w:rsidRPr="00F14B54">
        <w:rPr>
          <w:szCs w:val="18"/>
          <w:vertAlign w:val="superscript"/>
          <w:lang w:val="fr-FR"/>
        </w:rPr>
        <w:t>ème</w:t>
      </w:r>
      <w:r w:rsidRPr="00F14B54">
        <w:rPr>
          <w:szCs w:val="18"/>
          <w:lang w:val="fr-FR"/>
        </w:rPr>
        <w:t xml:space="preserve"> édition, </w:t>
      </w:r>
      <w:r w:rsidRPr="008B008F">
        <w:rPr>
          <w:szCs w:val="18"/>
          <w:lang w:val="fr-FR"/>
        </w:rPr>
        <w:t>Dalloz,</w:t>
      </w:r>
      <w:r w:rsidRPr="00F14B54">
        <w:rPr>
          <w:szCs w:val="18"/>
          <w:lang w:val="fr-FR"/>
        </w:rPr>
        <w:t xml:space="preserve"> collection « Cours », 2014. </w:t>
      </w:r>
    </w:p>
  </w:footnote>
  <w:footnote w:id="26">
    <w:p w14:paraId="5881D282" w14:textId="12C94F76"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à ce sujet, C. </w:t>
      </w:r>
      <w:r w:rsidRPr="00F14B54">
        <w:rPr>
          <w:smallCaps/>
          <w:szCs w:val="18"/>
          <w:lang w:val="fr-FR"/>
        </w:rPr>
        <w:t>Saint-</w:t>
      </w:r>
      <w:proofErr w:type="spellStart"/>
      <w:r w:rsidRPr="00F14B54">
        <w:rPr>
          <w:smallCaps/>
          <w:szCs w:val="18"/>
          <w:lang w:val="fr-FR"/>
        </w:rPr>
        <w:t>Alary</w:t>
      </w:r>
      <w:proofErr w:type="spellEnd"/>
      <w:r w:rsidRPr="00F14B54">
        <w:rPr>
          <w:smallCaps/>
          <w:szCs w:val="18"/>
          <w:lang w:val="fr-FR"/>
        </w:rPr>
        <w:t>-</w:t>
      </w:r>
      <w:proofErr w:type="spellStart"/>
      <w:r w:rsidRPr="00F14B54">
        <w:rPr>
          <w:smallCaps/>
          <w:szCs w:val="18"/>
          <w:lang w:val="fr-FR"/>
        </w:rPr>
        <w:t>Houin</w:t>
      </w:r>
      <w:proofErr w:type="spellEnd"/>
      <w:r w:rsidRPr="00F14B54">
        <w:rPr>
          <w:szCs w:val="18"/>
          <w:lang w:val="fr-FR"/>
        </w:rPr>
        <w:t xml:space="preserve"> </w:t>
      </w:r>
      <w:r w:rsidRPr="00F14B54">
        <w:rPr>
          <w:i/>
          <w:szCs w:val="18"/>
          <w:lang w:val="fr-FR"/>
        </w:rPr>
        <w:t>in Le droit des entreprises en difficulté</w:t>
      </w:r>
      <w:r w:rsidRPr="00F14B54">
        <w:rPr>
          <w:szCs w:val="18"/>
          <w:lang w:val="fr-FR"/>
        </w:rPr>
        <w:t>, Montchrestien, Précis Domat, 9</w:t>
      </w:r>
      <w:r w:rsidRPr="00F14B54">
        <w:rPr>
          <w:szCs w:val="18"/>
          <w:vertAlign w:val="superscript"/>
          <w:lang w:val="fr-FR"/>
        </w:rPr>
        <w:t>ème</w:t>
      </w:r>
      <w:r w:rsidRPr="00F14B54">
        <w:rPr>
          <w:szCs w:val="18"/>
          <w:lang w:val="fr-FR"/>
        </w:rPr>
        <w:t xml:space="preserve"> édition, 2014 ainsi que </w:t>
      </w:r>
      <w:r w:rsidRPr="00F14B54">
        <w:rPr>
          <w:bCs/>
          <w:szCs w:val="18"/>
          <w:lang w:val="fr-FR"/>
        </w:rPr>
        <w:t xml:space="preserve">M. </w:t>
      </w:r>
      <w:proofErr w:type="spellStart"/>
      <w:r w:rsidRPr="00F14B54">
        <w:rPr>
          <w:bCs/>
          <w:smallCaps/>
          <w:szCs w:val="18"/>
          <w:lang w:val="fr-FR"/>
        </w:rPr>
        <w:t>Jeantin</w:t>
      </w:r>
      <w:proofErr w:type="spellEnd"/>
      <w:r w:rsidRPr="00F14B54">
        <w:rPr>
          <w:bCs/>
          <w:szCs w:val="18"/>
          <w:lang w:val="fr-FR"/>
        </w:rPr>
        <w:t xml:space="preserve"> et P. </w:t>
      </w:r>
      <w:r w:rsidRPr="00F14B54">
        <w:rPr>
          <w:bCs/>
          <w:smallCaps/>
          <w:szCs w:val="18"/>
          <w:lang w:val="fr-FR"/>
        </w:rPr>
        <w:t xml:space="preserve">Le </w:t>
      </w:r>
      <w:proofErr w:type="spellStart"/>
      <w:r w:rsidRPr="00F14B54">
        <w:rPr>
          <w:bCs/>
          <w:smallCaps/>
          <w:szCs w:val="18"/>
          <w:lang w:val="fr-FR"/>
        </w:rPr>
        <w:t>Cannu</w:t>
      </w:r>
      <w:proofErr w:type="spellEnd"/>
      <w:r w:rsidRPr="00F14B54">
        <w:rPr>
          <w:bCs/>
          <w:szCs w:val="18"/>
          <w:lang w:val="fr-FR"/>
        </w:rPr>
        <w:t xml:space="preserve"> </w:t>
      </w:r>
      <w:r>
        <w:rPr>
          <w:bCs/>
          <w:i/>
          <w:szCs w:val="18"/>
          <w:lang w:val="fr-FR"/>
        </w:rPr>
        <w:t xml:space="preserve">in </w:t>
      </w:r>
      <w:r w:rsidRPr="001C2840">
        <w:rPr>
          <w:bCs/>
          <w:i/>
          <w:szCs w:val="18"/>
          <w:lang w:val="fr-FR"/>
        </w:rPr>
        <w:t>Droit commercial. Instruments de paiement et de crédit,</w:t>
      </w:r>
      <w:r w:rsidRPr="00F14B54">
        <w:rPr>
          <w:bCs/>
          <w:szCs w:val="18"/>
          <w:lang w:val="fr-FR"/>
        </w:rPr>
        <w:t xml:space="preserve"> </w:t>
      </w:r>
      <w:r w:rsidRPr="00F14B54">
        <w:rPr>
          <w:bCs/>
          <w:i/>
          <w:szCs w:val="18"/>
          <w:lang w:val="fr-FR"/>
        </w:rPr>
        <w:t>Entreprises en difficulté</w:t>
      </w:r>
      <w:r w:rsidRPr="00F14B54">
        <w:rPr>
          <w:bCs/>
          <w:szCs w:val="18"/>
          <w:lang w:val="fr-FR"/>
        </w:rPr>
        <w:t>, 8</w:t>
      </w:r>
      <w:r w:rsidRPr="00F14B54">
        <w:rPr>
          <w:bCs/>
          <w:szCs w:val="18"/>
          <w:vertAlign w:val="superscript"/>
          <w:lang w:val="fr-FR"/>
        </w:rPr>
        <w:t>ème</w:t>
      </w:r>
      <w:r w:rsidRPr="00F14B54">
        <w:rPr>
          <w:bCs/>
          <w:szCs w:val="18"/>
          <w:lang w:val="fr-FR"/>
        </w:rPr>
        <w:t xml:space="preserve"> édition, Dalloz, collection « Précis », 2010. </w:t>
      </w:r>
    </w:p>
  </w:footnote>
  <w:footnote w:id="27">
    <w:p w14:paraId="0775B818" w14:textId="2443C89B" w:rsidR="00704A68" w:rsidRPr="00F14B54" w:rsidRDefault="00704A68" w:rsidP="0069582B">
      <w:pPr>
        <w:pStyle w:val="Sansinterligne"/>
        <w:contextualSpacing/>
        <w:rPr>
          <w:rFonts w:eastAsia="Times New Roman"/>
          <w:bCs/>
          <w:sz w:val="18"/>
          <w:szCs w:val="18"/>
          <w:lang w:val="fr-FR"/>
        </w:rPr>
      </w:pPr>
      <w:r w:rsidRPr="00F14B54">
        <w:rPr>
          <w:rStyle w:val="Marquenotebasdepage"/>
          <w:sz w:val="18"/>
          <w:szCs w:val="18"/>
        </w:rPr>
        <w:footnoteRef/>
      </w:r>
      <w:r w:rsidRPr="00F14B54">
        <w:rPr>
          <w:sz w:val="18"/>
          <w:szCs w:val="18"/>
          <w:lang w:val="fr-FR"/>
        </w:rPr>
        <w:t xml:space="preserve"> Voir </w:t>
      </w:r>
      <w:r w:rsidRPr="00F14B54">
        <w:rPr>
          <w:rFonts w:eastAsia="Times New Roman"/>
          <w:bCs/>
          <w:sz w:val="18"/>
          <w:szCs w:val="18"/>
          <w:lang w:val="fr-FR"/>
        </w:rPr>
        <w:t xml:space="preserve">P. </w:t>
      </w:r>
      <w:proofErr w:type="spellStart"/>
      <w:r w:rsidRPr="00F14B54">
        <w:rPr>
          <w:rFonts w:eastAsia="Times New Roman"/>
          <w:bCs/>
          <w:smallCaps/>
          <w:sz w:val="18"/>
          <w:szCs w:val="18"/>
          <w:lang w:val="fr-FR"/>
        </w:rPr>
        <w:t>Rubellin</w:t>
      </w:r>
      <w:proofErr w:type="spellEnd"/>
      <w:r w:rsidRPr="00F14B54">
        <w:rPr>
          <w:rFonts w:eastAsia="Times New Roman"/>
          <w:bCs/>
          <w:sz w:val="18"/>
          <w:szCs w:val="18"/>
          <w:lang w:val="fr-FR"/>
        </w:rPr>
        <w:t xml:space="preserve"> </w:t>
      </w:r>
      <w:r w:rsidRPr="00F14B54">
        <w:rPr>
          <w:rFonts w:eastAsia="Times New Roman"/>
          <w:bCs/>
          <w:i/>
          <w:sz w:val="18"/>
          <w:szCs w:val="18"/>
          <w:lang w:val="fr-FR"/>
        </w:rPr>
        <w:t>in</w:t>
      </w:r>
      <w:r w:rsidRPr="00F14B54">
        <w:rPr>
          <w:rFonts w:eastAsia="Times New Roman"/>
          <w:bCs/>
          <w:sz w:val="18"/>
          <w:szCs w:val="18"/>
          <w:lang w:val="fr-FR"/>
        </w:rPr>
        <w:t xml:space="preserve"> « Régimes matrimoniaux et procédure collective », thèse, Strasbourg III, 1999.</w:t>
      </w:r>
    </w:p>
  </w:footnote>
  <w:footnote w:id="28">
    <w:p w14:paraId="4A2435A7" w14:textId="473E2FCC"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Pr>
          <w:sz w:val="18"/>
          <w:szCs w:val="18"/>
          <w:lang w:val="fr-FR"/>
        </w:rPr>
        <w:t xml:space="preserve"> A</w:t>
      </w:r>
      <w:r w:rsidRPr="00F14B54">
        <w:rPr>
          <w:sz w:val="18"/>
          <w:szCs w:val="18"/>
          <w:lang w:val="fr-FR"/>
        </w:rPr>
        <w:t xml:space="preserve"> ce sujet, voir F. </w:t>
      </w:r>
      <w:proofErr w:type="spellStart"/>
      <w:r w:rsidRPr="00F14B54">
        <w:rPr>
          <w:smallCaps/>
          <w:sz w:val="18"/>
          <w:szCs w:val="18"/>
          <w:lang w:val="fr-FR"/>
        </w:rPr>
        <w:t>Vauville</w:t>
      </w:r>
      <w:proofErr w:type="spellEnd"/>
      <w:r w:rsidRPr="00F14B54">
        <w:rPr>
          <w:sz w:val="18"/>
          <w:szCs w:val="18"/>
          <w:lang w:val="fr-FR"/>
        </w:rPr>
        <w:t xml:space="preserve"> </w:t>
      </w:r>
      <w:r w:rsidRPr="00F14B54">
        <w:rPr>
          <w:i/>
          <w:sz w:val="18"/>
          <w:szCs w:val="18"/>
          <w:lang w:val="fr-FR"/>
        </w:rPr>
        <w:t xml:space="preserve">in </w:t>
      </w:r>
      <w:r w:rsidRPr="00F14B54">
        <w:rPr>
          <w:b/>
          <w:sz w:val="18"/>
          <w:szCs w:val="18"/>
          <w:lang w:val="fr-FR"/>
        </w:rPr>
        <w:t>« </w:t>
      </w:r>
      <w:r w:rsidRPr="00F14B54">
        <w:rPr>
          <w:sz w:val="18"/>
          <w:szCs w:val="18"/>
          <w:lang w:val="fr-FR"/>
        </w:rPr>
        <w:t xml:space="preserve">Le régime matrimonial à l’épreuve des procédures collectives », </w:t>
      </w:r>
      <w:r w:rsidRPr="00F14B54">
        <w:rPr>
          <w:i/>
          <w:sz w:val="18"/>
          <w:szCs w:val="18"/>
          <w:lang w:val="fr-FR"/>
        </w:rPr>
        <w:t>Gazette du Palais</w:t>
      </w:r>
      <w:r w:rsidRPr="00F14B54">
        <w:rPr>
          <w:sz w:val="18"/>
          <w:szCs w:val="18"/>
          <w:lang w:val="fr-FR"/>
        </w:rPr>
        <w:t>, 11 décembre 2008, n°</w:t>
      </w:r>
      <w:r w:rsidR="00A2648B">
        <w:rPr>
          <w:sz w:val="18"/>
          <w:szCs w:val="18"/>
          <w:lang w:val="fr-FR"/>
        </w:rPr>
        <w:t xml:space="preserve"> </w:t>
      </w:r>
      <w:r w:rsidRPr="00F14B54">
        <w:rPr>
          <w:sz w:val="18"/>
          <w:szCs w:val="18"/>
          <w:lang w:val="fr-FR"/>
        </w:rPr>
        <w:t>346, p.</w:t>
      </w:r>
      <w:r w:rsidR="00A2648B">
        <w:rPr>
          <w:sz w:val="18"/>
          <w:szCs w:val="18"/>
          <w:lang w:val="fr-FR"/>
        </w:rPr>
        <w:t xml:space="preserve"> </w:t>
      </w:r>
      <w:r w:rsidRPr="00F14B54">
        <w:rPr>
          <w:sz w:val="18"/>
          <w:szCs w:val="18"/>
          <w:lang w:val="fr-FR"/>
        </w:rPr>
        <w:t>29.</w:t>
      </w:r>
    </w:p>
  </w:footnote>
  <w:footnote w:id="29">
    <w:p w14:paraId="6A2B25B3" w14:textId="5508C5D4"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à ce sujet, J-P. </w:t>
      </w:r>
      <w:proofErr w:type="spellStart"/>
      <w:r w:rsidRPr="00F14B54">
        <w:rPr>
          <w:smallCaps/>
          <w:sz w:val="18"/>
          <w:szCs w:val="18"/>
          <w:lang w:val="fr-FR"/>
        </w:rPr>
        <w:t>Senechal</w:t>
      </w:r>
      <w:proofErr w:type="spellEnd"/>
      <w:r w:rsidRPr="00F14B54">
        <w:rPr>
          <w:sz w:val="18"/>
          <w:szCs w:val="18"/>
          <w:lang w:val="fr-FR"/>
        </w:rPr>
        <w:t xml:space="preserve"> </w:t>
      </w:r>
      <w:r w:rsidRPr="00F14B54">
        <w:rPr>
          <w:i/>
          <w:sz w:val="18"/>
          <w:szCs w:val="18"/>
          <w:lang w:val="fr-FR"/>
        </w:rPr>
        <w:t>in</w:t>
      </w:r>
      <w:r w:rsidRPr="00F14B54">
        <w:rPr>
          <w:sz w:val="18"/>
          <w:szCs w:val="18"/>
          <w:lang w:val="fr-FR"/>
        </w:rPr>
        <w:t xml:space="preserve"> « L’affectation de biens communs ou indivis », </w:t>
      </w:r>
      <w:r w:rsidRPr="00F14B54">
        <w:rPr>
          <w:i/>
          <w:sz w:val="18"/>
          <w:szCs w:val="18"/>
          <w:lang w:val="fr-FR"/>
        </w:rPr>
        <w:t>Bulletin Joly Entreprises en Difficulté,</w:t>
      </w:r>
      <w:r w:rsidRPr="00F14B54">
        <w:rPr>
          <w:sz w:val="18"/>
          <w:szCs w:val="18"/>
          <w:lang w:val="fr-FR"/>
        </w:rPr>
        <w:t xml:space="preserve"> 1</w:t>
      </w:r>
      <w:r w:rsidRPr="00F14B54">
        <w:rPr>
          <w:sz w:val="18"/>
          <w:szCs w:val="18"/>
          <w:vertAlign w:val="superscript"/>
          <w:lang w:val="fr-FR"/>
        </w:rPr>
        <w:t>er</w:t>
      </w:r>
      <w:r w:rsidRPr="00F14B54">
        <w:rPr>
          <w:sz w:val="18"/>
          <w:szCs w:val="18"/>
          <w:lang w:val="fr-FR"/>
        </w:rPr>
        <w:t xml:space="preserve"> mars 2011, n°1, p.62 et M-P. </w:t>
      </w:r>
      <w:r w:rsidRPr="00F14B54">
        <w:rPr>
          <w:smallCaps/>
          <w:sz w:val="18"/>
          <w:szCs w:val="18"/>
          <w:lang w:val="fr-FR"/>
        </w:rPr>
        <w:t>Dumont-</w:t>
      </w:r>
      <w:proofErr w:type="spellStart"/>
      <w:r w:rsidRPr="00F14B54">
        <w:rPr>
          <w:smallCaps/>
          <w:sz w:val="18"/>
          <w:szCs w:val="18"/>
          <w:lang w:val="fr-FR"/>
        </w:rPr>
        <w:t>Lefrand</w:t>
      </w:r>
      <w:proofErr w:type="spellEnd"/>
      <w:r w:rsidRPr="00F14B54">
        <w:rPr>
          <w:sz w:val="18"/>
          <w:szCs w:val="18"/>
          <w:lang w:val="fr-FR"/>
        </w:rPr>
        <w:t xml:space="preserve"> </w:t>
      </w:r>
      <w:r w:rsidRPr="00F14B54">
        <w:rPr>
          <w:i/>
          <w:sz w:val="18"/>
          <w:szCs w:val="18"/>
          <w:lang w:val="fr-FR"/>
        </w:rPr>
        <w:t>in</w:t>
      </w:r>
      <w:r w:rsidRPr="00F14B54">
        <w:rPr>
          <w:sz w:val="18"/>
          <w:szCs w:val="18"/>
          <w:lang w:val="fr-FR"/>
        </w:rPr>
        <w:t xml:space="preserve"> </w:t>
      </w:r>
      <w:r w:rsidRPr="00F14B54">
        <w:rPr>
          <w:rFonts w:eastAsia="Times New Roman"/>
          <w:sz w:val="18"/>
          <w:szCs w:val="18"/>
          <w:lang w:val="fr-FR"/>
        </w:rPr>
        <w:t xml:space="preserve">« Biens communs : caractère absolu du principe du dessaisissement du débiteur en liquidation judiciaire », </w:t>
      </w:r>
      <w:r w:rsidRPr="00F14B54">
        <w:rPr>
          <w:rFonts w:eastAsia="Times New Roman"/>
          <w:i/>
          <w:sz w:val="18"/>
          <w:szCs w:val="18"/>
          <w:lang w:val="fr-FR"/>
        </w:rPr>
        <w:t>Revue des procédures collectives</w:t>
      </w:r>
      <w:r w:rsidRPr="00F14B54">
        <w:rPr>
          <w:rFonts w:eastAsia="Times New Roman"/>
          <w:sz w:val="18"/>
          <w:szCs w:val="18"/>
          <w:lang w:val="fr-FR"/>
        </w:rPr>
        <w:t>, 1</w:t>
      </w:r>
      <w:r w:rsidRPr="00F14B54">
        <w:rPr>
          <w:rFonts w:eastAsia="Times New Roman"/>
          <w:sz w:val="18"/>
          <w:szCs w:val="18"/>
          <w:vertAlign w:val="superscript"/>
          <w:lang w:val="fr-FR"/>
        </w:rPr>
        <w:t>er</w:t>
      </w:r>
      <w:r w:rsidRPr="00F14B54">
        <w:rPr>
          <w:rFonts w:eastAsia="Times New Roman"/>
          <w:sz w:val="18"/>
          <w:szCs w:val="18"/>
          <w:lang w:val="fr-FR"/>
        </w:rPr>
        <w:t xml:space="preserve"> mars 2009, n°</w:t>
      </w:r>
      <w:r w:rsidR="00A2648B">
        <w:rPr>
          <w:rFonts w:eastAsia="Times New Roman"/>
          <w:sz w:val="18"/>
          <w:szCs w:val="18"/>
          <w:lang w:val="fr-FR"/>
        </w:rPr>
        <w:t xml:space="preserve"> </w:t>
      </w:r>
      <w:r w:rsidRPr="00F14B54">
        <w:rPr>
          <w:rFonts w:eastAsia="Times New Roman"/>
          <w:sz w:val="18"/>
          <w:szCs w:val="18"/>
          <w:lang w:val="fr-FR"/>
        </w:rPr>
        <w:t>2, p.</w:t>
      </w:r>
      <w:r w:rsidR="00A2648B">
        <w:rPr>
          <w:rFonts w:eastAsia="Times New Roman"/>
          <w:sz w:val="18"/>
          <w:szCs w:val="18"/>
          <w:lang w:val="fr-FR"/>
        </w:rPr>
        <w:t xml:space="preserve"> </w:t>
      </w:r>
      <w:r w:rsidRPr="00F14B54">
        <w:rPr>
          <w:rFonts w:eastAsia="Times New Roman"/>
          <w:sz w:val="18"/>
          <w:szCs w:val="18"/>
          <w:lang w:val="fr-FR"/>
        </w:rPr>
        <w:t>44 et suivants.</w:t>
      </w:r>
    </w:p>
  </w:footnote>
  <w:footnote w:id="30">
    <w:p w14:paraId="145242A9" w14:textId="4C9A37F2" w:rsidR="00704A68" w:rsidRPr="00F14B54" w:rsidRDefault="00704A68" w:rsidP="0069582B">
      <w:pPr>
        <w:pStyle w:val="Sansinterligne"/>
        <w:contextualSpacing/>
        <w:rPr>
          <w:bCs/>
          <w:i/>
          <w:sz w:val="18"/>
          <w:szCs w:val="18"/>
          <w:lang w:val="fr-FR"/>
        </w:rPr>
      </w:pPr>
      <w:r w:rsidRPr="00F14B54">
        <w:rPr>
          <w:rStyle w:val="Marquenotebasdepage"/>
          <w:sz w:val="18"/>
          <w:szCs w:val="18"/>
        </w:rPr>
        <w:footnoteRef/>
      </w:r>
      <w:r w:rsidRPr="00F14B54">
        <w:rPr>
          <w:sz w:val="18"/>
          <w:szCs w:val="18"/>
          <w:lang w:val="fr-FR"/>
        </w:rPr>
        <w:t xml:space="preserve"> L’effet de saisie réelle est l’appréhension par la procédure de l’ensemble des biens qui composent le patrimoine du débiteur à la date du jugement d’ouverture. Voir </w:t>
      </w:r>
      <w:r w:rsidRPr="00F14B54">
        <w:rPr>
          <w:bCs/>
          <w:sz w:val="18"/>
          <w:szCs w:val="18"/>
          <w:lang w:val="fr-FR"/>
        </w:rPr>
        <w:t xml:space="preserve">J-L. </w:t>
      </w:r>
      <w:proofErr w:type="spellStart"/>
      <w:r w:rsidRPr="00F14B54">
        <w:rPr>
          <w:bCs/>
          <w:smallCaps/>
          <w:sz w:val="18"/>
          <w:szCs w:val="18"/>
          <w:lang w:val="fr-FR"/>
        </w:rPr>
        <w:t>Vallens</w:t>
      </w:r>
      <w:proofErr w:type="spellEnd"/>
      <w:r w:rsidRPr="00F14B54">
        <w:rPr>
          <w:bCs/>
          <w:i/>
          <w:sz w:val="18"/>
          <w:szCs w:val="18"/>
          <w:lang w:val="fr-FR"/>
        </w:rPr>
        <w:t xml:space="preserve"> in </w:t>
      </w:r>
      <w:r>
        <w:rPr>
          <w:bCs/>
          <w:sz w:val="18"/>
          <w:szCs w:val="18"/>
          <w:lang w:val="fr-FR"/>
        </w:rPr>
        <w:t>« </w:t>
      </w:r>
      <w:r w:rsidRPr="00F14B54">
        <w:rPr>
          <w:bCs/>
          <w:sz w:val="18"/>
          <w:szCs w:val="18"/>
          <w:lang w:val="fr-FR"/>
        </w:rPr>
        <w:t>Effet réel de la proc</w:t>
      </w:r>
      <w:r>
        <w:rPr>
          <w:bCs/>
          <w:sz w:val="18"/>
          <w:szCs w:val="18"/>
          <w:lang w:val="fr-FR"/>
        </w:rPr>
        <w:t>édure à l’</w:t>
      </w:r>
      <w:r w:rsidRPr="00F14B54">
        <w:rPr>
          <w:bCs/>
          <w:sz w:val="18"/>
          <w:szCs w:val="18"/>
          <w:lang w:val="fr-FR"/>
        </w:rPr>
        <w:t>égard du patrimoine du débiteur</w:t>
      </w:r>
      <w:r>
        <w:rPr>
          <w:bCs/>
          <w:sz w:val="18"/>
          <w:szCs w:val="18"/>
          <w:lang w:val="fr-FR"/>
        </w:rPr>
        <w:t> »</w:t>
      </w:r>
      <w:r w:rsidRPr="00F14B54">
        <w:rPr>
          <w:bCs/>
          <w:sz w:val="18"/>
          <w:szCs w:val="18"/>
          <w:lang w:val="fr-FR"/>
        </w:rPr>
        <w:t>,</w:t>
      </w:r>
      <w:r>
        <w:rPr>
          <w:bCs/>
          <w:sz w:val="18"/>
          <w:szCs w:val="18"/>
          <w:lang w:val="fr-FR"/>
        </w:rPr>
        <w:t xml:space="preserve"> </w:t>
      </w:r>
      <w:r w:rsidRPr="00F14B54">
        <w:rPr>
          <w:sz w:val="18"/>
          <w:szCs w:val="18"/>
          <w:lang w:val="fr-FR"/>
        </w:rPr>
        <w:t>Etude n°</w:t>
      </w:r>
      <w:r w:rsidR="00A2648B">
        <w:rPr>
          <w:sz w:val="18"/>
          <w:szCs w:val="18"/>
          <w:lang w:val="fr-FR"/>
        </w:rPr>
        <w:t> </w:t>
      </w:r>
      <w:r w:rsidRPr="00F14B54">
        <w:rPr>
          <w:sz w:val="18"/>
          <w:szCs w:val="18"/>
          <w:lang w:val="fr-FR"/>
        </w:rPr>
        <w:t>4330</w:t>
      </w:r>
      <w:r>
        <w:rPr>
          <w:sz w:val="18"/>
          <w:szCs w:val="18"/>
          <w:lang w:val="fr-FR"/>
        </w:rPr>
        <w:t xml:space="preserve">, </w:t>
      </w:r>
      <w:r w:rsidRPr="00F14B54">
        <w:rPr>
          <w:bCs/>
          <w:i/>
          <w:sz w:val="18"/>
          <w:szCs w:val="18"/>
          <w:lang w:val="fr-FR"/>
        </w:rPr>
        <w:t>in Lamy Droit Commercial</w:t>
      </w:r>
      <w:r w:rsidRPr="00F14B54">
        <w:rPr>
          <w:bCs/>
          <w:sz w:val="18"/>
          <w:szCs w:val="18"/>
          <w:lang w:val="fr-FR"/>
        </w:rPr>
        <w:t>, 2012</w:t>
      </w:r>
      <w:r>
        <w:rPr>
          <w:bCs/>
          <w:sz w:val="18"/>
          <w:szCs w:val="18"/>
          <w:lang w:val="fr-FR"/>
        </w:rPr>
        <w:t>.</w:t>
      </w:r>
    </w:p>
  </w:footnote>
  <w:footnote w:id="31">
    <w:p w14:paraId="32D3FFD3" w14:textId="5CED371D" w:rsidR="00704A68" w:rsidRPr="00F14B54" w:rsidRDefault="00704A68" w:rsidP="0069582B">
      <w:pPr>
        <w:pStyle w:val="Sansinterligne"/>
        <w:contextualSpacing/>
        <w:rPr>
          <w:rFonts w:eastAsia="Times New Roman"/>
          <w:b/>
          <w:bCs/>
          <w:sz w:val="18"/>
          <w:szCs w:val="18"/>
          <w:lang w:val="fr-FR"/>
        </w:rPr>
      </w:pPr>
      <w:r w:rsidRPr="00F14B54">
        <w:rPr>
          <w:rStyle w:val="Marquenotebasdepage"/>
          <w:sz w:val="18"/>
          <w:szCs w:val="18"/>
        </w:rPr>
        <w:footnoteRef/>
      </w:r>
      <w:r>
        <w:rPr>
          <w:sz w:val="18"/>
          <w:szCs w:val="18"/>
          <w:lang w:val="fr-FR"/>
        </w:rPr>
        <w:t xml:space="preserve"> </w:t>
      </w:r>
      <w:r w:rsidRPr="00F14B54">
        <w:rPr>
          <w:sz w:val="18"/>
          <w:szCs w:val="18"/>
          <w:lang w:val="fr-FR"/>
        </w:rPr>
        <w:t xml:space="preserve">Voir </w:t>
      </w:r>
      <w:r w:rsidRPr="00F14B54">
        <w:rPr>
          <w:rFonts w:eastAsia="Times New Roman"/>
          <w:sz w:val="18"/>
          <w:szCs w:val="18"/>
          <w:lang w:val="fr-FR"/>
        </w:rPr>
        <w:t xml:space="preserve">B. </w:t>
      </w:r>
      <w:proofErr w:type="spellStart"/>
      <w:r w:rsidRPr="00F14B54">
        <w:rPr>
          <w:rFonts w:eastAsia="Times New Roman"/>
          <w:smallCaps/>
          <w:sz w:val="18"/>
          <w:szCs w:val="18"/>
          <w:lang w:val="fr-FR"/>
        </w:rPr>
        <w:t>Beignier</w:t>
      </w:r>
      <w:proofErr w:type="spellEnd"/>
      <w:r w:rsidRPr="00F14B54">
        <w:rPr>
          <w:rFonts w:eastAsia="Times New Roman"/>
          <w:sz w:val="18"/>
          <w:szCs w:val="18"/>
          <w:lang w:val="fr-FR"/>
        </w:rPr>
        <w:t xml:space="preserve"> </w:t>
      </w:r>
      <w:r w:rsidRPr="00F14B54">
        <w:rPr>
          <w:rFonts w:eastAsia="Times New Roman"/>
          <w:i/>
          <w:sz w:val="18"/>
          <w:szCs w:val="18"/>
          <w:lang w:val="fr-FR"/>
        </w:rPr>
        <w:t xml:space="preserve">in </w:t>
      </w:r>
      <w:r w:rsidRPr="00F14B54">
        <w:rPr>
          <w:rFonts w:eastAsia="Times New Roman"/>
          <w:sz w:val="18"/>
          <w:szCs w:val="18"/>
          <w:lang w:val="fr-FR"/>
        </w:rPr>
        <w:t>Note sous Cass.com., 4 octobre 2005, n° 04-12610, « Administration des biens communs dans une liqui</w:t>
      </w:r>
      <w:r>
        <w:rPr>
          <w:rFonts w:eastAsia="Times New Roman"/>
          <w:sz w:val="18"/>
          <w:szCs w:val="18"/>
          <w:lang w:val="fr-FR"/>
        </w:rPr>
        <w:t>dation judiciaire prononcée à l’encontre d’</w:t>
      </w:r>
      <w:r w:rsidRPr="00F14B54">
        <w:rPr>
          <w:rFonts w:eastAsia="Times New Roman"/>
          <w:sz w:val="18"/>
          <w:szCs w:val="18"/>
          <w:lang w:val="fr-FR"/>
        </w:rPr>
        <w:t xml:space="preserve">un des époux », </w:t>
      </w:r>
      <w:r w:rsidRPr="00F14B54">
        <w:rPr>
          <w:rFonts w:eastAsia="Times New Roman"/>
          <w:i/>
          <w:sz w:val="18"/>
          <w:szCs w:val="18"/>
          <w:lang w:val="fr-FR"/>
        </w:rPr>
        <w:t>La Semaine Juridique Entreprise et Affaires</w:t>
      </w:r>
      <w:r w:rsidRPr="00F14B54">
        <w:rPr>
          <w:rFonts w:eastAsia="Times New Roman"/>
          <w:sz w:val="18"/>
          <w:szCs w:val="18"/>
          <w:lang w:val="fr-FR"/>
        </w:rPr>
        <w:t xml:space="preserve">, n°6, 9 Février 2006, p.1243 ; </w:t>
      </w:r>
      <w:r w:rsidRPr="00F14B54">
        <w:rPr>
          <w:rFonts w:eastAsia="Times New Roman"/>
          <w:bCs/>
          <w:sz w:val="18"/>
          <w:szCs w:val="18"/>
          <w:lang w:val="fr-FR"/>
        </w:rPr>
        <w:t xml:space="preserve">S. </w:t>
      </w:r>
      <w:proofErr w:type="spellStart"/>
      <w:r w:rsidRPr="00F14B54">
        <w:rPr>
          <w:rFonts w:eastAsia="Times New Roman"/>
          <w:bCs/>
          <w:smallCaps/>
          <w:sz w:val="18"/>
          <w:szCs w:val="18"/>
          <w:lang w:val="fr-FR"/>
        </w:rPr>
        <w:t>Benilsi</w:t>
      </w:r>
      <w:proofErr w:type="spellEnd"/>
      <w:r w:rsidRPr="00F14B54">
        <w:rPr>
          <w:rFonts w:eastAsia="Times New Roman"/>
          <w:bCs/>
          <w:smallCaps/>
          <w:sz w:val="18"/>
          <w:szCs w:val="18"/>
          <w:lang w:val="fr-FR"/>
        </w:rPr>
        <w:t xml:space="preserve"> </w:t>
      </w:r>
      <w:r w:rsidRPr="00F14B54">
        <w:rPr>
          <w:rFonts w:eastAsia="Times New Roman"/>
          <w:i/>
          <w:sz w:val="18"/>
          <w:szCs w:val="18"/>
          <w:lang w:val="fr-FR"/>
        </w:rPr>
        <w:t>in</w:t>
      </w:r>
      <w:r w:rsidRPr="00F14B54">
        <w:rPr>
          <w:rFonts w:eastAsia="Times New Roman"/>
          <w:sz w:val="18"/>
          <w:szCs w:val="18"/>
          <w:lang w:val="fr-FR"/>
        </w:rPr>
        <w:t xml:space="preserve"> Note sous </w:t>
      </w:r>
      <w:r w:rsidRPr="00F14B54">
        <w:rPr>
          <w:sz w:val="18"/>
          <w:szCs w:val="18"/>
          <w:lang w:val="fr-FR"/>
        </w:rPr>
        <w:t>Cass.com., 22 mai 2012, n</w:t>
      </w:r>
      <w:r w:rsidRPr="00F14B54">
        <w:rPr>
          <w:sz w:val="18"/>
          <w:szCs w:val="18"/>
          <w:vertAlign w:val="superscript"/>
          <w:lang w:val="fr-FR"/>
        </w:rPr>
        <w:t>o</w:t>
      </w:r>
      <w:r w:rsidR="00A2648B">
        <w:rPr>
          <w:sz w:val="18"/>
          <w:szCs w:val="18"/>
          <w:vertAlign w:val="superscript"/>
          <w:lang w:val="fr-FR"/>
        </w:rPr>
        <w:t xml:space="preserve"> </w:t>
      </w:r>
      <w:r w:rsidRPr="00F14B54">
        <w:rPr>
          <w:sz w:val="18"/>
          <w:szCs w:val="18"/>
          <w:lang w:val="fr-FR"/>
        </w:rPr>
        <w:t>11-17391, « Sort des biens communs d</w:t>
      </w:r>
      <w:r>
        <w:rPr>
          <w:sz w:val="18"/>
          <w:szCs w:val="18"/>
          <w:lang w:val="fr-FR"/>
        </w:rPr>
        <w:t>ans la liquidation judiciaire d’</w:t>
      </w:r>
      <w:r w:rsidRPr="00F14B54">
        <w:rPr>
          <w:sz w:val="18"/>
          <w:szCs w:val="18"/>
          <w:lang w:val="fr-FR"/>
        </w:rPr>
        <w:t xml:space="preserve">un époux », </w:t>
      </w:r>
      <w:r w:rsidRPr="00F14B54">
        <w:rPr>
          <w:i/>
          <w:sz w:val="18"/>
          <w:szCs w:val="18"/>
          <w:lang w:val="fr-FR"/>
        </w:rPr>
        <w:t>Gazette du Palais</w:t>
      </w:r>
      <w:r w:rsidRPr="00F14B54">
        <w:rPr>
          <w:sz w:val="18"/>
          <w:szCs w:val="18"/>
          <w:lang w:val="fr-FR"/>
        </w:rPr>
        <w:t>, 8 novembre 2012, n°</w:t>
      </w:r>
      <w:r w:rsidR="00A2648B">
        <w:rPr>
          <w:sz w:val="18"/>
          <w:szCs w:val="18"/>
          <w:lang w:val="fr-FR"/>
        </w:rPr>
        <w:t xml:space="preserve"> </w:t>
      </w:r>
      <w:r w:rsidRPr="00F14B54">
        <w:rPr>
          <w:sz w:val="18"/>
          <w:szCs w:val="18"/>
          <w:lang w:val="fr-FR"/>
        </w:rPr>
        <w:t>313, p.</w:t>
      </w:r>
      <w:r w:rsidR="00A2648B">
        <w:rPr>
          <w:sz w:val="18"/>
          <w:szCs w:val="18"/>
          <w:lang w:val="fr-FR"/>
        </w:rPr>
        <w:t xml:space="preserve"> </w:t>
      </w:r>
      <w:r w:rsidRPr="00F14B54">
        <w:rPr>
          <w:sz w:val="18"/>
          <w:szCs w:val="18"/>
          <w:lang w:val="fr-FR"/>
        </w:rPr>
        <w:t>14 ; P.</w:t>
      </w:r>
      <w:r w:rsidRPr="00F14B54">
        <w:rPr>
          <w:rFonts w:eastAsia="Times New Roman"/>
          <w:sz w:val="18"/>
          <w:szCs w:val="18"/>
          <w:lang w:val="fr-FR"/>
        </w:rPr>
        <w:t xml:space="preserve"> </w:t>
      </w:r>
      <w:r w:rsidRPr="00F14B54">
        <w:rPr>
          <w:smallCaps/>
          <w:sz w:val="18"/>
          <w:szCs w:val="18"/>
          <w:lang w:val="fr-FR"/>
        </w:rPr>
        <w:t>Roussel-Galle</w:t>
      </w:r>
      <w:r w:rsidRPr="00F14B54">
        <w:rPr>
          <w:sz w:val="18"/>
          <w:szCs w:val="18"/>
          <w:lang w:val="fr-FR"/>
        </w:rPr>
        <w:t xml:space="preserve"> </w:t>
      </w:r>
      <w:r w:rsidRPr="00F14B54">
        <w:rPr>
          <w:rFonts w:eastAsia="Times New Roman"/>
          <w:i/>
          <w:sz w:val="18"/>
          <w:szCs w:val="18"/>
          <w:lang w:val="fr-FR"/>
        </w:rPr>
        <w:t>in</w:t>
      </w:r>
      <w:r w:rsidRPr="00F14B54">
        <w:rPr>
          <w:rFonts w:eastAsia="Times New Roman"/>
          <w:sz w:val="18"/>
          <w:szCs w:val="18"/>
          <w:lang w:val="fr-FR"/>
        </w:rPr>
        <w:t xml:space="preserve"> </w:t>
      </w:r>
      <w:r w:rsidRPr="00F14B54">
        <w:rPr>
          <w:sz w:val="18"/>
          <w:szCs w:val="18"/>
          <w:lang w:val="fr-FR"/>
        </w:rPr>
        <w:t>Note sous Cass.com., 10 juillet 2014, n°</w:t>
      </w:r>
      <w:r w:rsidR="00A2648B">
        <w:rPr>
          <w:sz w:val="18"/>
          <w:szCs w:val="18"/>
          <w:lang w:val="fr-FR"/>
        </w:rPr>
        <w:t xml:space="preserve"> </w:t>
      </w:r>
      <w:r w:rsidRPr="00F14B54">
        <w:rPr>
          <w:sz w:val="18"/>
          <w:szCs w:val="18"/>
          <w:lang w:val="fr-FR"/>
        </w:rPr>
        <w:t xml:space="preserve">14-10100, « Vente des biens communs et droit de propriété du conjoint </w:t>
      </w:r>
      <w:r w:rsidRPr="00F14B54">
        <w:rPr>
          <w:i/>
          <w:sz w:val="18"/>
          <w:szCs w:val="18"/>
          <w:lang w:val="fr-FR"/>
        </w:rPr>
        <w:t>in bonis </w:t>
      </w:r>
      <w:r w:rsidRPr="00F14B54">
        <w:rPr>
          <w:sz w:val="18"/>
          <w:szCs w:val="18"/>
          <w:lang w:val="fr-FR"/>
        </w:rPr>
        <w:t xml:space="preserve">», </w:t>
      </w:r>
      <w:hyperlink r:id="rId1" w:history="1">
        <w:r w:rsidRPr="00F14B54">
          <w:rPr>
            <w:bCs/>
            <w:i/>
            <w:sz w:val="18"/>
            <w:szCs w:val="18"/>
            <w:lang w:val="fr-FR"/>
          </w:rPr>
          <w:t>Revue des sociétés</w:t>
        </w:r>
      </w:hyperlink>
      <w:r w:rsidRPr="00F14B54">
        <w:rPr>
          <w:bCs/>
          <w:sz w:val="18"/>
          <w:szCs w:val="18"/>
          <w:lang w:val="fr-FR"/>
        </w:rPr>
        <w:t>, 1</w:t>
      </w:r>
      <w:r w:rsidRPr="00F14B54">
        <w:rPr>
          <w:bCs/>
          <w:sz w:val="18"/>
          <w:szCs w:val="18"/>
          <w:vertAlign w:val="superscript"/>
          <w:lang w:val="fr-FR"/>
        </w:rPr>
        <w:t>er</w:t>
      </w:r>
      <w:r w:rsidRPr="00F14B54">
        <w:rPr>
          <w:bCs/>
          <w:sz w:val="18"/>
          <w:szCs w:val="18"/>
          <w:lang w:val="fr-FR"/>
        </w:rPr>
        <w:t xml:space="preserve"> septembre 2014, n°</w:t>
      </w:r>
      <w:r w:rsidR="00A2648B">
        <w:rPr>
          <w:bCs/>
          <w:sz w:val="18"/>
          <w:szCs w:val="18"/>
          <w:lang w:val="fr-FR"/>
        </w:rPr>
        <w:t xml:space="preserve"> </w:t>
      </w:r>
      <w:r w:rsidRPr="00F14B54">
        <w:rPr>
          <w:bCs/>
          <w:sz w:val="18"/>
          <w:szCs w:val="18"/>
          <w:lang w:val="fr-FR"/>
        </w:rPr>
        <w:t>9, p.</w:t>
      </w:r>
      <w:r w:rsidR="00A2648B">
        <w:rPr>
          <w:bCs/>
          <w:sz w:val="18"/>
          <w:szCs w:val="18"/>
          <w:lang w:val="fr-FR"/>
        </w:rPr>
        <w:t xml:space="preserve"> </w:t>
      </w:r>
      <w:r w:rsidRPr="00F14B54">
        <w:rPr>
          <w:bCs/>
          <w:sz w:val="18"/>
          <w:szCs w:val="18"/>
          <w:lang w:val="fr-FR"/>
        </w:rPr>
        <w:t xml:space="preserve">529 ; </w:t>
      </w:r>
      <w:r w:rsidRPr="00F14B54">
        <w:rPr>
          <w:rFonts w:eastAsia="Times New Roman"/>
          <w:bCs/>
          <w:sz w:val="18"/>
          <w:szCs w:val="18"/>
          <w:lang w:val="fr-FR"/>
        </w:rPr>
        <w:t xml:space="preserve">P. </w:t>
      </w:r>
      <w:proofErr w:type="spellStart"/>
      <w:r w:rsidRPr="00F14B54">
        <w:rPr>
          <w:rFonts w:eastAsia="Times New Roman"/>
          <w:bCs/>
          <w:smallCaps/>
          <w:sz w:val="18"/>
          <w:szCs w:val="18"/>
          <w:lang w:val="fr-FR"/>
        </w:rPr>
        <w:t>Rubellin</w:t>
      </w:r>
      <w:proofErr w:type="spellEnd"/>
      <w:r w:rsidRPr="00F14B54">
        <w:rPr>
          <w:rFonts w:eastAsia="Times New Roman"/>
          <w:bCs/>
          <w:sz w:val="18"/>
          <w:szCs w:val="18"/>
          <w:lang w:val="fr-FR"/>
        </w:rPr>
        <w:t xml:space="preserve"> </w:t>
      </w:r>
      <w:r w:rsidRPr="00F14B54">
        <w:rPr>
          <w:rFonts w:eastAsia="Times New Roman"/>
          <w:bCs/>
          <w:i/>
          <w:sz w:val="18"/>
          <w:szCs w:val="18"/>
          <w:lang w:val="fr-FR"/>
        </w:rPr>
        <w:t>in</w:t>
      </w:r>
      <w:r w:rsidRPr="00F14B54">
        <w:rPr>
          <w:rFonts w:eastAsia="Times New Roman"/>
          <w:bCs/>
          <w:sz w:val="18"/>
          <w:szCs w:val="18"/>
          <w:lang w:val="fr-FR"/>
        </w:rPr>
        <w:t xml:space="preserve"> </w:t>
      </w:r>
      <w:r w:rsidRPr="00F14B54">
        <w:rPr>
          <w:sz w:val="18"/>
          <w:szCs w:val="18"/>
          <w:lang w:val="fr-FR"/>
        </w:rPr>
        <w:t>Note sous Cass.com., 28 avril 2009, n°</w:t>
      </w:r>
      <w:r w:rsidR="00A2648B">
        <w:rPr>
          <w:sz w:val="18"/>
          <w:szCs w:val="18"/>
          <w:lang w:val="fr-FR"/>
        </w:rPr>
        <w:t> </w:t>
      </w:r>
      <w:r w:rsidRPr="00F14B54">
        <w:rPr>
          <w:sz w:val="18"/>
          <w:szCs w:val="18"/>
          <w:lang w:val="fr-FR"/>
        </w:rPr>
        <w:t>08-10368, « </w:t>
      </w:r>
      <w:r w:rsidRPr="00F14B54">
        <w:rPr>
          <w:kern w:val="36"/>
          <w:sz w:val="18"/>
          <w:szCs w:val="18"/>
          <w:lang w:val="fr-FR"/>
        </w:rPr>
        <w:t xml:space="preserve">Irrecevabilité de la tierce opposition du conjoint </w:t>
      </w:r>
      <w:r w:rsidRPr="00E34CE5">
        <w:rPr>
          <w:i/>
          <w:kern w:val="36"/>
          <w:sz w:val="18"/>
          <w:szCs w:val="18"/>
          <w:lang w:val="fr-FR"/>
        </w:rPr>
        <w:t>in bonis</w:t>
      </w:r>
      <w:r w:rsidRPr="00F14B54">
        <w:rPr>
          <w:kern w:val="36"/>
          <w:sz w:val="18"/>
          <w:szCs w:val="18"/>
          <w:lang w:val="fr-FR"/>
        </w:rPr>
        <w:t xml:space="preserve"> contre une décision judiciaire relative aux biens communs », </w:t>
      </w:r>
      <w:r>
        <w:rPr>
          <w:i/>
          <w:sz w:val="18"/>
          <w:szCs w:val="18"/>
          <w:lang w:val="fr-FR"/>
        </w:rPr>
        <w:t>L’</w:t>
      </w:r>
      <w:r w:rsidRPr="00F14B54">
        <w:rPr>
          <w:i/>
          <w:sz w:val="18"/>
          <w:szCs w:val="18"/>
          <w:lang w:val="fr-FR"/>
        </w:rPr>
        <w:t>Essentiel Droit des entreprises en difficulté</w:t>
      </w:r>
      <w:r w:rsidRPr="00F14B54">
        <w:rPr>
          <w:sz w:val="18"/>
          <w:szCs w:val="18"/>
          <w:lang w:val="fr-FR"/>
        </w:rPr>
        <w:t>, 1</w:t>
      </w:r>
      <w:r w:rsidRPr="00F14B54">
        <w:rPr>
          <w:sz w:val="18"/>
          <w:szCs w:val="18"/>
          <w:vertAlign w:val="superscript"/>
          <w:lang w:val="fr-FR"/>
        </w:rPr>
        <w:t>er</w:t>
      </w:r>
      <w:r w:rsidRPr="00F14B54">
        <w:rPr>
          <w:sz w:val="18"/>
          <w:szCs w:val="18"/>
          <w:lang w:val="fr-FR"/>
        </w:rPr>
        <w:t xml:space="preserve"> juin 2009, n°</w:t>
      </w:r>
      <w:r w:rsidR="00A2648B">
        <w:rPr>
          <w:sz w:val="18"/>
          <w:szCs w:val="18"/>
          <w:lang w:val="fr-FR"/>
        </w:rPr>
        <w:t xml:space="preserve"> </w:t>
      </w:r>
      <w:r w:rsidRPr="00F14B54">
        <w:rPr>
          <w:sz w:val="18"/>
          <w:szCs w:val="18"/>
          <w:lang w:val="fr-FR"/>
        </w:rPr>
        <w:t>3, p.</w:t>
      </w:r>
      <w:r w:rsidR="00A2648B">
        <w:rPr>
          <w:sz w:val="18"/>
          <w:szCs w:val="18"/>
          <w:lang w:val="fr-FR"/>
        </w:rPr>
        <w:t xml:space="preserve"> </w:t>
      </w:r>
      <w:r w:rsidRPr="00F14B54">
        <w:rPr>
          <w:sz w:val="18"/>
          <w:szCs w:val="18"/>
          <w:lang w:val="fr-FR"/>
        </w:rPr>
        <w:t>5 ;</w:t>
      </w:r>
      <w:r w:rsidRPr="00F14B54">
        <w:rPr>
          <w:rFonts w:eastAsia="Times New Roman"/>
          <w:b/>
          <w:bCs/>
          <w:sz w:val="18"/>
          <w:szCs w:val="18"/>
          <w:lang w:val="fr-FR"/>
        </w:rPr>
        <w:t xml:space="preserve"> </w:t>
      </w:r>
      <w:r w:rsidRPr="00F14B54">
        <w:rPr>
          <w:rFonts w:eastAsia="Times New Roman"/>
          <w:bCs/>
          <w:sz w:val="18"/>
          <w:szCs w:val="18"/>
          <w:lang w:val="fr-FR"/>
        </w:rPr>
        <w:t xml:space="preserve">F-X. </w:t>
      </w:r>
      <w:r w:rsidRPr="00F14B54">
        <w:rPr>
          <w:rFonts w:eastAsia="Times New Roman"/>
          <w:bCs/>
          <w:smallCaps/>
          <w:sz w:val="18"/>
          <w:szCs w:val="18"/>
          <w:lang w:val="fr-FR"/>
        </w:rPr>
        <w:t>Lucas</w:t>
      </w:r>
      <w:r w:rsidRPr="00F14B54">
        <w:rPr>
          <w:rFonts w:eastAsia="Times New Roman"/>
          <w:bCs/>
          <w:sz w:val="18"/>
          <w:szCs w:val="18"/>
          <w:lang w:val="fr-FR"/>
        </w:rPr>
        <w:t xml:space="preserve"> </w:t>
      </w:r>
      <w:r w:rsidRPr="00F14B54">
        <w:rPr>
          <w:rFonts w:eastAsia="Times New Roman"/>
          <w:bCs/>
          <w:i/>
          <w:sz w:val="18"/>
          <w:szCs w:val="18"/>
          <w:lang w:val="fr-FR"/>
        </w:rPr>
        <w:t>in</w:t>
      </w:r>
      <w:r w:rsidRPr="00F14B54">
        <w:rPr>
          <w:rFonts w:eastAsia="Times New Roman"/>
          <w:bCs/>
          <w:sz w:val="18"/>
          <w:szCs w:val="18"/>
          <w:lang w:val="fr-FR"/>
        </w:rPr>
        <w:t xml:space="preserve"> Note sous Cass.com., 16 mars 2010, n°</w:t>
      </w:r>
      <w:r w:rsidR="00A2648B">
        <w:rPr>
          <w:rFonts w:eastAsia="Times New Roman"/>
          <w:bCs/>
          <w:sz w:val="18"/>
          <w:szCs w:val="18"/>
          <w:lang w:val="fr-FR"/>
        </w:rPr>
        <w:t> 08</w:t>
      </w:r>
      <w:r w:rsidRPr="00F14B54">
        <w:rPr>
          <w:rFonts w:eastAsia="Times New Roman"/>
          <w:bCs/>
          <w:sz w:val="18"/>
          <w:szCs w:val="18"/>
          <w:lang w:val="fr-FR"/>
        </w:rPr>
        <w:t xml:space="preserve">13147, « Conséquences de l’effet réel de la procédure collective en cas de liquidations judiciaires successives », </w:t>
      </w:r>
      <w:r w:rsidRPr="00F14B54">
        <w:rPr>
          <w:rFonts w:eastAsia="Times New Roman"/>
          <w:bCs/>
          <w:i/>
          <w:sz w:val="18"/>
          <w:szCs w:val="18"/>
          <w:lang w:val="fr-FR"/>
        </w:rPr>
        <w:t>L’Essentiel Droit des entreprises en difficulté</w:t>
      </w:r>
      <w:r w:rsidRPr="00F14B54">
        <w:rPr>
          <w:rFonts w:eastAsia="Times New Roman"/>
          <w:bCs/>
          <w:sz w:val="18"/>
          <w:szCs w:val="18"/>
          <w:lang w:val="fr-FR"/>
        </w:rPr>
        <w:t>, 1</w:t>
      </w:r>
      <w:r w:rsidRPr="00F14B54">
        <w:rPr>
          <w:rFonts w:eastAsia="Times New Roman"/>
          <w:bCs/>
          <w:sz w:val="18"/>
          <w:szCs w:val="18"/>
          <w:vertAlign w:val="superscript"/>
          <w:lang w:val="fr-FR"/>
        </w:rPr>
        <w:t>er</w:t>
      </w:r>
      <w:r w:rsidRPr="00F14B54">
        <w:rPr>
          <w:rFonts w:eastAsia="Times New Roman"/>
          <w:bCs/>
          <w:sz w:val="18"/>
          <w:szCs w:val="18"/>
          <w:lang w:val="fr-FR"/>
        </w:rPr>
        <w:t xml:space="preserve"> mai 2010, n°</w:t>
      </w:r>
      <w:r w:rsidR="00A2648B">
        <w:rPr>
          <w:rFonts w:eastAsia="Times New Roman"/>
          <w:bCs/>
          <w:sz w:val="18"/>
          <w:szCs w:val="18"/>
          <w:lang w:val="fr-FR"/>
        </w:rPr>
        <w:t xml:space="preserve"> </w:t>
      </w:r>
      <w:r w:rsidRPr="00F14B54">
        <w:rPr>
          <w:rFonts w:eastAsia="Times New Roman"/>
          <w:bCs/>
          <w:sz w:val="18"/>
          <w:szCs w:val="18"/>
          <w:lang w:val="fr-FR"/>
        </w:rPr>
        <w:t>5, p.</w:t>
      </w:r>
      <w:r w:rsidR="00A2648B">
        <w:rPr>
          <w:rFonts w:eastAsia="Times New Roman"/>
          <w:bCs/>
          <w:sz w:val="18"/>
          <w:szCs w:val="18"/>
          <w:lang w:val="fr-FR"/>
        </w:rPr>
        <w:t xml:space="preserve"> </w:t>
      </w:r>
      <w:r w:rsidRPr="00F14B54">
        <w:rPr>
          <w:rFonts w:eastAsia="Times New Roman"/>
          <w:bCs/>
          <w:sz w:val="18"/>
          <w:szCs w:val="18"/>
          <w:lang w:val="fr-FR"/>
        </w:rPr>
        <w:t xml:space="preserve">1 </w:t>
      </w:r>
      <w:r w:rsidRPr="00F14B54">
        <w:rPr>
          <w:sz w:val="18"/>
          <w:szCs w:val="18"/>
          <w:lang w:val="fr-FR"/>
        </w:rPr>
        <w:t xml:space="preserve">et </w:t>
      </w:r>
      <w:r w:rsidRPr="00F14B54">
        <w:rPr>
          <w:rFonts w:eastAsia="Times New Roman"/>
          <w:sz w:val="18"/>
          <w:szCs w:val="18"/>
          <w:lang w:val="fr-FR"/>
        </w:rPr>
        <w:t>M.</w:t>
      </w:r>
      <w:r w:rsidRPr="00F14B54">
        <w:rPr>
          <w:rFonts w:eastAsia="Times New Roman"/>
          <w:bCs/>
          <w:kern w:val="36"/>
          <w:sz w:val="18"/>
          <w:szCs w:val="18"/>
          <w:lang w:val="fr-FR"/>
        </w:rPr>
        <w:t xml:space="preserve"> </w:t>
      </w:r>
      <w:proofErr w:type="spellStart"/>
      <w:r w:rsidRPr="00F14B54">
        <w:rPr>
          <w:rFonts w:eastAsia="Times New Roman"/>
          <w:smallCaps/>
          <w:sz w:val="18"/>
          <w:szCs w:val="18"/>
          <w:lang w:val="fr-FR"/>
        </w:rPr>
        <w:t>Senechal</w:t>
      </w:r>
      <w:proofErr w:type="spellEnd"/>
      <w:r w:rsidRPr="00F14B54">
        <w:rPr>
          <w:rFonts w:eastAsia="Times New Roman"/>
          <w:sz w:val="18"/>
          <w:szCs w:val="18"/>
          <w:lang w:val="fr-FR"/>
        </w:rPr>
        <w:t xml:space="preserve"> </w:t>
      </w:r>
      <w:r w:rsidRPr="00F14B54">
        <w:rPr>
          <w:rFonts w:eastAsia="Times New Roman"/>
          <w:i/>
          <w:sz w:val="18"/>
          <w:szCs w:val="18"/>
          <w:lang w:val="fr-FR"/>
        </w:rPr>
        <w:t>in</w:t>
      </w:r>
      <w:r w:rsidRPr="00F14B54">
        <w:rPr>
          <w:rFonts w:eastAsia="Times New Roman"/>
          <w:sz w:val="18"/>
          <w:szCs w:val="18"/>
          <w:lang w:val="fr-FR"/>
        </w:rPr>
        <w:t xml:space="preserve"> </w:t>
      </w:r>
      <w:r w:rsidRPr="00F14B54">
        <w:rPr>
          <w:sz w:val="18"/>
          <w:szCs w:val="18"/>
          <w:lang w:val="fr-FR"/>
        </w:rPr>
        <w:t>Note sous Ca</w:t>
      </w:r>
      <w:r w:rsidR="00A2648B">
        <w:rPr>
          <w:sz w:val="18"/>
          <w:szCs w:val="18"/>
          <w:lang w:val="fr-FR"/>
        </w:rPr>
        <w:t>ss.com., 16 novembre 2010, n° 09</w:t>
      </w:r>
      <w:r w:rsidRPr="00F14B54">
        <w:rPr>
          <w:sz w:val="18"/>
          <w:szCs w:val="18"/>
          <w:lang w:val="fr-FR"/>
        </w:rPr>
        <w:t>68459, « </w:t>
      </w:r>
      <w:r w:rsidRPr="00F14B54">
        <w:rPr>
          <w:rFonts w:eastAsia="Times New Roman"/>
          <w:bCs/>
          <w:kern w:val="36"/>
          <w:sz w:val="18"/>
          <w:szCs w:val="18"/>
          <w:lang w:val="fr-FR"/>
        </w:rPr>
        <w:t>Biens communs, les salaires du c</w:t>
      </w:r>
      <w:r>
        <w:rPr>
          <w:rFonts w:eastAsia="Times New Roman"/>
          <w:bCs/>
          <w:kern w:val="36"/>
          <w:sz w:val="18"/>
          <w:szCs w:val="18"/>
          <w:lang w:val="fr-FR"/>
        </w:rPr>
        <w:t>onjoint du débiteur sont dans l’</w:t>
      </w:r>
      <w:r w:rsidRPr="00F14B54">
        <w:rPr>
          <w:rFonts w:eastAsia="Times New Roman"/>
          <w:bCs/>
          <w:kern w:val="36"/>
          <w:sz w:val="18"/>
          <w:szCs w:val="18"/>
          <w:lang w:val="fr-FR"/>
        </w:rPr>
        <w:t xml:space="preserve">actif de la liquidation judiciaire », </w:t>
      </w:r>
      <w:r>
        <w:rPr>
          <w:rFonts w:eastAsia="Times New Roman"/>
          <w:i/>
          <w:sz w:val="18"/>
          <w:szCs w:val="18"/>
          <w:lang w:val="fr-FR"/>
        </w:rPr>
        <w:t>L’</w:t>
      </w:r>
      <w:r w:rsidRPr="00F14B54">
        <w:rPr>
          <w:rFonts w:eastAsia="Times New Roman"/>
          <w:i/>
          <w:sz w:val="18"/>
          <w:szCs w:val="18"/>
          <w:lang w:val="fr-FR"/>
        </w:rPr>
        <w:t>Essentiel Droit des entreprises en difficulté</w:t>
      </w:r>
      <w:r w:rsidRPr="00F14B54">
        <w:rPr>
          <w:rFonts w:eastAsia="Times New Roman"/>
          <w:sz w:val="18"/>
          <w:szCs w:val="18"/>
          <w:lang w:val="fr-FR"/>
        </w:rPr>
        <w:t>, 1</w:t>
      </w:r>
      <w:r w:rsidRPr="00F14B54">
        <w:rPr>
          <w:rFonts w:eastAsia="Times New Roman"/>
          <w:sz w:val="18"/>
          <w:szCs w:val="18"/>
          <w:vertAlign w:val="superscript"/>
          <w:lang w:val="fr-FR"/>
        </w:rPr>
        <w:t>er</w:t>
      </w:r>
      <w:r w:rsidRPr="00F14B54">
        <w:rPr>
          <w:rFonts w:eastAsia="Times New Roman"/>
          <w:sz w:val="18"/>
          <w:szCs w:val="18"/>
          <w:lang w:val="fr-FR"/>
        </w:rPr>
        <w:t> janvier 2011, n°</w:t>
      </w:r>
      <w:r w:rsidR="00A2648B">
        <w:rPr>
          <w:rFonts w:eastAsia="Times New Roman"/>
          <w:sz w:val="18"/>
          <w:szCs w:val="18"/>
          <w:lang w:val="fr-FR"/>
        </w:rPr>
        <w:t xml:space="preserve"> </w:t>
      </w:r>
      <w:r w:rsidRPr="00F14B54">
        <w:rPr>
          <w:rFonts w:eastAsia="Times New Roman"/>
          <w:sz w:val="18"/>
          <w:szCs w:val="18"/>
          <w:lang w:val="fr-FR"/>
        </w:rPr>
        <w:t>1, p.</w:t>
      </w:r>
      <w:r w:rsidR="00A2648B">
        <w:rPr>
          <w:rFonts w:eastAsia="Times New Roman"/>
          <w:sz w:val="18"/>
          <w:szCs w:val="18"/>
          <w:lang w:val="fr-FR"/>
        </w:rPr>
        <w:t> </w:t>
      </w:r>
      <w:r w:rsidRPr="00F14B54">
        <w:rPr>
          <w:rFonts w:eastAsia="Times New Roman"/>
          <w:sz w:val="18"/>
          <w:szCs w:val="18"/>
          <w:lang w:val="fr-FR"/>
        </w:rPr>
        <w:t>4.</w:t>
      </w:r>
    </w:p>
  </w:footnote>
  <w:footnote w:id="32">
    <w:p w14:paraId="0A09FE7F" w14:textId="1FA721C8" w:rsidR="00704A68" w:rsidRPr="00F14B54" w:rsidRDefault="00704A68" w:rsidP="0069582B">
      <w:pPr>
        <w:pStyle w:val="Sansinterligne"/>
        <w:contextualSpacing/>
        <w:rPr>
          <w:bCs/>
          <w:sz w:val="18"/>
          <w:szCs w:val="18"/>
          <w:lang w:val="fr-FR"/>
        </w:rPr>
      </w:pPr>
      <w:r w:rsidRPr="00F14B54">
        <w:rPr>
          <w:rStyle w:val="Marquenotebasdepage"/>
          <w:sz w:val="18"/>
          <w:szCs w:val="18"/>
        </w:rPr>
        <w:footnoteRef/>
      </w:r>
      <w:r w:rsidRPr="00F14B54">
        <w:rPr>
          <w:sz w:val="18"/>
          <w:szCs w:val="18"/>
          <w:lang w:val="fr-FR"/>
        </w:rPr>
        <w:t xml:space="preserve"> En ce sens, voir </w:t>
      </w:r>
      <w:r w:rsidRPr="00F14B54">
        <w:rPr>
          <w:bCs/>
          <w:sz w:val="18"/>
          <w:szCs w:val="18"/>
          <w:lang w:val="fr-FR"/>
        </w:rPr>
        <w:t xml:space="preserve">H. </w:t>
      </w:r>
      <w:proofErr w:type="spellStart"/>
      <w:r w:rsidRPr="00F14B54">
        <w:rPr>
          <w:bCs/>
          <w:smallCaps/>
          <w:sz w:val="18"/>
          <w:szCs w:val="18"/>
          <w:lang w:val="fr-FR"/>
        </w:rPr>
        <w:t>Lecuyer</w:t>
      </w:r>
      <w:proofErr w:type="spellEnd"/>
      <w:r w:rsidRPr="00F14B54">
        <w:rPr>
          <w:bCs/>
          <w:sz w:val="18"/>
          <w:szCs w:val="18"/>
          <w:lang w:val="fr-FR"/>
        </w:rPr>
        <w:t xml:space="preserve"> </w:t>
      </w:r>
      <w:r w:rsidRPr="00F14B54">
        <w:rPr>
          <w:bCs/>
          <w:i/>
          <w:sz w:val="18"/>
          <w:szCs w:val="18"/>
          <w:lang w:val="fr-FR"/>
        </w:rPr>
        <w:t>in</w:t>
      </w:r>
      <w:r w:rsidRPr="00F14B54">
        <w:rPr>
          <w:bCs/>
          <w:sz w:val="18"/>
          <w:szCs w:val="18"/>
          <w:lang w:val="fr-FR"/>
        </w:rPr>
        <w:t xml:space="preserve"> « </w:t>
      </w:r>
      <w:r w:rsidRPr="00F14B54">
        <w:rPr>
          <w:rFonts w:eastAsia="Times New Roman"/>
          <w:bCs/>
          <w:sz w:val="18"/>
          <w:szCs w:val="18"/>
          <w:lang w:val="fr-FR"/>
        </w:rPr>
        <w:t xml:space="preserve">Entreprise et famille », </w:t>
      </w:r>
      <w:r w:rsidRPr="00F14B54">
        <w:rPr>
          <w:rFonts w:eastAsia="Times New Roman"/>
          <w:i/>
          <w:sz w:val="18"/>
          <w:szCs w:val="18"/>
          <w:lang w:val="fr-FR"/>
        </w:rPr>
        <w:t>Gazette du Palais</w:t>
      </w:r>
      <w:r w:rsidRPr="00F14B54">
        <w:rPr>
          <w:rFonts w:eastAsia="Times New Roman"/>
          <w:sz w:val="18"/>
          <w:szCs w:val="18"/>
          <w:lang w:val="fr-FR"/>
        </w:rPr>
        <w:t>, 19 mai 2011, n°</w:t>
      </w:r>
      <w:r w:rsidR="00A2648B">
        <w:rPr>
          <w:rFonts w:eastAsia="Times New Roman"/>
          <w:sz w:val="18"/>
          <w:szCs w:val="18"/>
          <w:lang w:val="fr-FR"/>
        </w:rPr>
        <w:t xml:space="preserve"> </w:t>
      </w:r>
      <w:r w:rsidRPr="00F14B54">
        <w:rPr>
          <w:rFonts w:eastAsia="Times New Roman"/>
          <w:sz w:val="18"/>
          <w:szCs w:val="18"/>
          <w:lang w:val="fr-FR"/>
        </w:rPr>
        <w:t>139, p.</w:t>
      </w:r>
      <w:r w:rsidR="00A2648B">
        <w:rPr>
          <w:rFonts w:eastAsia="Times New Roman"/>
          <w:sz w:val="18"/>
          <w:szCs w:val="18"/>
          <w:lang w:val="fr-FR"/>
        </w:rPr>
        <w:t xml:space="preserve"> </w:t>
      </w:r>
      <w:r w:rsidRPr="00F14B54">
        <w:rPr>
          <w:rFonts w:eastAsia="Times New Roman"/>
          <w:sz w:val="18"/>
          <w:szCs w:val="18"/>
          <w:lang w:val="fr-FR"/>
        </w:rPr>
        <w:t>51.</w:t>
      </w:r>
      <w:r w:rsidRPr="00F14B54">
        <w:rPr>
          <w:rFonts w:eastAsia="Times New Roman"/>
          <w:bCs/>
          <w:sz w:val="18"/>
          <w:szCs w:val="18"/>
          <w:vertAlign w:val="superscript"/>
          <w:lang w:val="fr-FR"/>
        </w:rPr>
        <w:t> </w:t>
      </w:r>
    </w:p>
  </w:footnote>
  <w:footnote w:id="33">
    <w:p w14:paraId="3C75147F" w14:textId="2004755C"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N. </w:t>
      </w:r>
      <w:proofErr w:type="spellStart"/>
      <w:r w:rsidRPr="00F14B54">
        <w:rPr>
          <w:sz w:val="18"/>
          <w:szCs w:val="18"/>
          <w:lang w:val="fr-FR"/>
        </w:rPr>
        <w:t>R</w:t>
      </w:r>
      <w:r w:rsidRPr="00F14B54">
        <w:rPr>
          <w:smallCaps/>
          <w:sz w:val="18"/>
          <w:szCs w:val="18"/>
          <w:lang w:val="fr-FR"/>
        </w:rPr>
        <w:t>eboul-Maupin</w:t>
      </w:r>
      <w:proofErr w:type="spellEnd"/>
      <w:r w:rsidRPr="00F14B54">
        <w:rPr>
          <w:sz w:val="18"/>
          <w:szCs w:val="18"/>
          <w:lang w:val="fr-FR"/>
        </w:rPr>
        <w:t xml:space="preserve"> </w:t>
      </w:r>
      <w:r w:rsidRPr="00F14B54">
        <w:rPr>
          <w:i/>
          <w:sz w:val="18"/>
          <w:szCs w:val="18"/>
          <w:lang w:val="fr-FR"/>
        </w:rPr>
        <w:t>in</w:t>
      </w:r>
      <w:r>
        <w:rPr>
          <w:sz w:val="18"/>
          <w:szCs w:val="18"/>
          <w:lang w:val="fr-FR"/>
        </w:rPr>
        <w:t xml:space="preserve"> </w:t>
      </w:r>
      <w:r w:rsidRPr="00C03872">
        <w:rPr>
          <w:i/>
          <w:sz w:val="18"/>
          <w:szCs w:val="18"/>
          <w:lang w:val="fr-FR"/>
        </w:rPr>
        <w:t>Droit des biens</w:t>
      </w:r>
      <w:r>
        <w:rPr>
          <w:sz w:val="18"/>
          <w:szCs w:val="18"/>
          <w:lang w:val="fr-FR"/>
        </w:rPr>
        <w:t>,</w:t>
      </w:r>
      <w:r w:rsidRPr="00F14B54">
        <w:rPr>
          <w:sz w:val="18"/>
          <w:szCs w:val="18"/>
          <w:lang w:val="fr-FR"/>
        </w:rPr>
        <w:t xml:space="preserve"> </w:t>
      </w:r>
      <w:r w:rsidRPr="00C03872">
        <w:rPr>
          <w:sz w:val="18"/>
          <w:szCs w:val="18"/>
          <w:lang w:val="fr-FR"/>
        </w:rPr>
        <w:t xml:space="preserve">Dalloz, Collection </w:t>
      </w:r>
      <w:proofErr w:type="spellStart"/>
      <w:r w:rsidRPr="00C03872">
        <w:rPr>
          <w:sz w:val="18"/>
          <w:szCs w:val="18"/>
          <w:lang w:val="fr-FR"/>
        </w:rPr>
        <w:t>Hypercours</w:t>
      </w:r>
      <w:proofErr w:type="spellEnd"/>
      <w:r w:rsidRPr="00C03872">
        <w:rPr>
          <w:sz w:val="18"/>
          <w:szCs w:val="18"/>
          <w:lang w:val="fr-FR"/>
        </w:rPr>
        <w:t>,</w:t>
      </w:r>
      <w:r w:rsidRPr="00F14B54">
        <w:rPr>
          <w:sz w:val="18"/>
          <w:szCs w:val="18"/>
          <w:lang w:val="fr-FR"/>
        </w:rPr>
        <w:t xml:space="preserve"> 5</w:t>
      </w:r>
      <w:r w:rsidRPr="00F14B54">
        <w:rPr>
          <w:sz w:val="18"/>
          <w:szCs w:val="18"/>
          <w:vertAlign w:val="superscript"/>
          <w:lang w:val="fr-FR"/>
        </w:rPr>
        <w:t>ème</w:t>
      </w:r>
      <w:r w:rsidRPr="00F14B54">
        <w:rPr>
          <w:sz w:val="18"/>
          <w:szCs w:val="18"/>
          <w:lang w:val="fr-FR"/>
        </w:rPr>
        <w:t xml:space="preserve"> édition, 2014.</w:t>
      </w:r>
    </w:p>
  </w:footnote>
  <w:footnote w:id="34">
    <w:p w14:paraId="72A0151D" w14:textId="5F77ABD8"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w:t>
      </w:r>
      <w:r w:rsidRPr="00F14B54">
        <w:rPr>
          <w:bCs/>
          <w:sz w:val="18"/>
          <w:szCs w:val="18"/>
          <w:lang w:val="fr-FR"/>
        </w:rPr>
        <w:t xml:space="preserve">J-L. </w:t>
      </w:r>
      <w:proofErr w:type="spellStart"/>
      <w:r w:rsidRPr="00F14B54">
        <w:rPr>
          <w:bCs/>
          <w:smallCaps/>
          <w:sz w:val="18"/>
          <w:szCs w:val="18"/>
          <w:lang w:val="fr-FR"/>
        </w:rPr>
        <w:t>Vallens</w:t>
      </w:r>
      <w:proofErr w:type="spellEnd"/>
      <w:r w:rsidRPr="00F14B54">
        <w:rPr>
          <w:bCs/>
          <w:i/>
          <w:sz w:val="18"/>
          <w:szCs w:val="18"/>
          <w:lang w:val="fr-FR"/>
        </w:rPr>
        <w:t xml:space="preserve"> in </w:t>
      </w:r>
      <w:r w:rsidRPr="00F14B54">
        <w:rPr>
          <w:bCs/>
          <w:sz w:val="18"/>
          <w:szCs w:val="18"/>
          <w:lang w:val="fr-FR"/>
        </w:rPr>
        <w:t>«</w:t>
      </w:r>
      <w:r w:rsidRPr="00F14B54">
        <w:rPr>
          <w:bCs/>
          <w:i/>
          <w:sz w:val="18"/>
          <w:szCs w:val="18"/>
          <w:lang w:val="fr-FR"/>
        </w:rPr>
        <w:t> </w:t>
      </w:r>
      <w:r w:rsidRPr="00F14B54">
        <w:rPr>
          <w:sz w:val="18"/>
          <w:szCs w:val="18"/>
          <w:lang w:val="fr-FR"/>
        </w:rPr>
        <w:t>Dessaisissement du débiteur »,</w:t>
      </w:r>
      <w:r>
        <w:rPr>
          <w:sz w:val="18"/>
          <w:szCs w:val="18"/>
          <w:lang w:val="fr-FR"/>
        </w:rPr>
        <w:t xml:space="preserve"> </w:t>
      </w:r>
      <w:r w:rsidRPr="00F14B54">
        <w:rPr>
          <w:sz w:val="18"/>
          <w:szCs w:val="18"/>
          <w:lang w:val="fr-FR"/>
        </w:rPr>
        <w:t>Etude n°4338</w:t>
      </w:r>
      <w:r>
        <w:rPr>
          <w:sz w:val="18"/>
          <w:szCs w:val="18"/>
          <w:lang w:val="fr-FR"/>
        </w:rPr>
        <w:t xml:space="preserve">, </w:t>
      </w:r>
      <w:r w:rsidRPr="00F14B54">
        <w:rPr>
          <w:bCs/>
          <w:i/>
          <w:sz w:val="18"/>
          <w:szCs w:val="18"/>
          <w:lang w:val="fr-FR"/>
        </w:rPr>
        <w:t>in Lamy Droit Commercial</w:t>
      </w:r>
      <w:r w:rsidRPr="00F14B54">
        <w:rPr>
          <w:bCs/>
          <w:sz w:val="18"/>
          <w:szCs w:val="18"/>
          <w:lang w:val="fr-FR"/>
        </w:rPr>
        <w:t>, 2012</w:t>
      </w:r>
      <w:r w:rsidRPr="00F14B54">
        <w:rPr>
          <w:sz w:val="18"/>
          <w:szCs w:val="18"/>
          <w:lang w:val="fr-FR"/>
        </w:rPr>
        <w:t>.</w:t>
      </w:r>
    </w:p>
  </w:footnote>
  <w:footnote w:id="35">
    <w:p w14:paraId="0256F698" w14:textId="7D75D3C4" w:rsidR="00704A68" w:rsidRPr="00F14B54" w:rsidRDefault="00704A68" w:rsidP="0069582B">
      <w:pPr>
        <w:tabs>
          <w:tab w:val="left" w:pos="3896"/>
        </w:tabs>
        <w:contextualSpacing/>
        <w:rPr>
          <w:sz w:val="18"/>
          <w:szCs w:val="18"/>
          <w:lang w:val="fr-FR"/>
        </w:rPr>
      </w:pPr>
      <w:r w:rsidRPr="00F14B54">
        <w:rPr>
          <w:rStyle w:val="Marquenotebasdepage"/>
          <w:sz w:val="18"/>
          <w:szCs w:val="18"/>
        </w:rPr>
        <w:footnoteRef/>
      </w:r>
      <w:r w:rsidRPr="00F14B54">
        <w:rPr>
          <w:sz w:val="18"/>
          <w:szCs w:val="18"/>
          <w:lang w:val="fr-FR"/>
        </w:rPr>
        <w:t xml:space="preserve"> En ce sens, voir F-X. </w:t>
      </w:r>
      <w:r w:rsidRPr="00F14B54">
        <w:rPr>
          <w:smallCaps/>
          <w:sz w:val="18"/>
          <w:szCs w:val="18"/>
          <w:lang w:val="fr-FR"/>
        </w:rPr>
        <w:t>Lucas</w:t>
      </w:r>
      <w:r w:rsidRPr="00F14B54">
        <w:rPr>
          <w:i/>
          <w:sz w:val="18"/>
          <w:szCs w:val="18"/>
          <w:lang w:val="fr-FR"/>
        </w:rPr>
        <w:t xml:space="preserve"> </w:t>
      </w:r>
      <w:r w:rsidRPr="00AF20BD">
        <w:rPr>
          <w:i/>
          <w:sz w:val="18"/>
          <w:szCs w:val="18"/>
          <w:lang w:val="fr-FR"/>
        </w:rPr>
        <w:t>in Manuel de droit de la faillite</w:t>
      </w:r>
      <w:r w:rsidRPr="00F14B54">
        <w:rPr>
          <w:sz w:val="18"/>
          <w:szCs w:val="18"/>
          <w:lang w:val="fr-FR"/>
        </w:rPr>
        <w:t xml:space="preserve">, </w:t>
      </w:r>
      <w:r w:rsidRPr="00AF20BD">
        <w:rPr>
          <w:sz w:val="18"/>
          <w:szCs w:val="18"/>
          <w:lang w:val="fr-FR"/>
        </w:rPr>
        <w:t>Presses Universitaires de France (P.U.F)</w:t>
      </w:r>
      <w:r w:rsidRPr="00F14B54">
        <w:rPr>
          <w:sz w:val="18"/>
          <w:szCs w:val="18"/>
          <w:lang w:val="fr-FR"/>
        </w:rPr>
        <w:t>, Collection Droit fondamental, 1</w:t>
      </w:r>
      <w:r w:rsidRPr="00F14B54">
        <w:rPr>
          <w:sz w:val="18"/>
          <w:szCs w:val="18"/>
          <w:vertAlign w:val="superscript"/>
          <w:lang w:val="fr-FR"/>
        </w:rPr>
        <w:t>ère</w:t>
      </w:r>
      <w:r w:rsidRPr="00F14B54">
        <w:rPr>
          <w:sz w:val="18"/>
          <w:szCs w:val="18"/>
          <w:lang w:val="fr-FR"/>
        </w:rPr>
        <w:t xml:space="preserve"> édition, Novembre 2016.</w:t>
      </w:r>
    </w:p>
  </w:footnote>
  <w:footnote w:id="36">
    <w:p w14:paraId="5D3EDED6"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Comme en dispose l’article L.622-1, II du Code de commerce. </w:t>
      </w:r>
    </w:p>
  </w:footnote>
  <w:footnote w:id="37">
    <w:p w14:paraId="4FF7ABBC"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Comme en dispose l’article L.631-12 alinéa 2 du Code de commerce. </w:t>
      </w:r>
    </w:p>
  </w:footnote>
  <w:footnote w:id="38">
    <w:p w14:paraId="6B841CAB" w14:textId="560EFE48"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Conformément aux dispositions de l’article L.641-9 du Code de commerce. Voir C. </w:t>
      </w:r>
      <w:proofErr w:type="spellStart"/>
      <w:r w:rsidRPr="00F14B54">
        <w:rPr>
          <w:smallCaps/>
          <w:szCs w:val="18"/>
          <w:lang w:val="fr-FR"/>
        </w:rPr>
        <w:t>Boillot</w:t>
      </w:r>
      <w:proofErr w:type="spellEnd"/>
      <w:r w:rsidRPr="00F14B54">
        <w:rPr>
          <w:smallCaps/>
          <w:szCs w:val="18"/>
          <w:lang w:val="fr-FR"/>
        </w:rPr>
        <w:t xml:space="preserve"> </w:t>
      </w:r>
      <w:r w:rsidRPr="00F14B54">
        <w:rPr>
          <w:i/>
          <w:szCs w:val="18"/>
          <w:lang w:val="fr-FR"/>
        </w:rPr>
        <w:t>in</w:t>
      </w:r>
      <w:r w:rsidRPr="00F14B54">
        <w:rPr>
          <w:szCs w:val="18"/>
          <w:lang w:val="fr-FR"/>
        </w:rPr>
        <w:t xml:space="preserve"> « </w:t>
      </w:r>
      <w:r w:rsidRPr="00F14B54">
        <w:rPr>
          <w:rFonts w:eastAsia="Times New Roman"/>
          <w:bCs/>
          <w:szCs w:val="18"/>
          <w:lang w:val="fr-FR"/>
        </w:rPr>
        <w:t xml:space="preserve">Portée du dessaisissement du débiteur en liquidation judiciaire », </w:t>
      </w:r>
      <w:r w:rsidRPr="00F14B54">
        <w:rPr>
          <w:rFonts w:eastAsia="Times New Roman"/>
          <w:i/>
          <w:szCs w:val="18"/>
          <w:lang w:val="fr-FR"/>
        </w:rPr>
        <w:t>Petites affiches</w:t>
      </w:r>
      <w:r w:rsidRPr="00F14B54">
        <w:rPr>
          <w:rFonts w:eastAsia="Times New Roman"/>
          <w:szCs w:val="18"/>
          <w:lang w:val="fr-FR"/>
        </w:rPr>
        <w:t>, 27 juin 2012, n°</w:t>
      </w:r>
      <w:r w:rsidR="00A2648B">
        <w:rPr>
          <w:rFonts w:eastAsia="Times New Roman"/>
          <w:szCs w:val="18"/>
          <w:lang w:val="fr-FR"/>
        </w:rPr>
        <w:t xml:space="preserve"> </w:t>
      </w:r>
      <w:r w:rsidRPr="00F14B54">
        <w:rPr>
          <w:rFonts w:eastAsia="Times New Roman"/>
          <w:szCs w:val="18"/>
          <w:lang w:val="fr-FR"/>
        </w:rPr>
        <w:t>128, p.</w:t>
      </w:r>
      <w:r w:rsidR="00A2648B">
        <w:rPr>
          <w:rFonts w:eastAsia="Times New Roman"/>
          <w:szCs w:val="18"/>
          <w:lang w:val="fr-FR"/>
        </w:rPr>
        <w:t xml:space="preserve"> </w:t>
      </w:r>
      <w:r w:rsidRPr="00F14B54">
        <w:rPr>
          <w:rFonts w:eastAsia="Times New Roman"/>
          <w:szCs w:val="18"/>
          <w:lang w:val="fr-FR"/>
        </w:rPr>
        <w:t xml:space="preserve">14 ; </w:t>
      </w:r>
      <w:r w:rsidRPr="00F14B54">
        <w:rPr>
          <w:rFonts w:eastAsia="Times New Roman"/>
          <w:bCs/>
          <w:kern w:val="36"/>
          <w:szCs w:val="18"/>
          <w:lang w:val="fr-FR"/>
        </w:rPr>
        <w:t>C.</w:t>
      </w:r>
      <w:r w:rsidRPr="00F14B54">
        <w:rPr>
          <w:szCs w:val="18"/>
          <w:lang w:val="fr-FR"/>
        </w:rPr>
        <w:t xml:space="preserve"> </w:t>
      </w:r>
      <w:proofErr w:type="spellStart"/>
      <w:r w:rsidRPr="00F14B54">
        <w:rPr>
          <w:rFonts w:eastAsia="Times New Roman"/>
          <w:bCs/>
          <w:smallCaps/>
          <w:kern w:val="36"/>
          <w:szCs w:val="18"/>
          <w:lang w:val="fr-FR"/>
        </w:rPr>
        <w:t>Leguevaques</w:t>
      </w:r>
      <w:proofErr w:type="spellEnd"/>
      <w:r w:rsidRPr="00F14B54">
        <w:rPr>
          <w:szCs w:val="18"/>
          <w:lang w:val="fr-FR"/>
        </w:rPr>
        <w:t xml:space="preserve"> </w:t>
      </w:r>
      <w:r w:rsidRPr="00F14B54">
        <w:rPr>
          <w:i/>
          <w:szCs w:val="18"/>
          <w:lang w:val="fr-FR"/>
        </w:rPr>
        <w:t xml:space="preserve">in </w:t>
      </w:r>
      <w:r w:rsidRPr="00F14B54">
        <w:rPr>
          <w:rFonts w:eastAsia="Times New Roman"/>
          <w:szCs w:val="18"/>
          <w:lang w:val="fr-FR"/>
        </w:rPr>
        <w:t>« Le dessaisissement du débiteu</w:t>
      </w:r>
      <w:r>
        <w:rPr>
          <w:rFonts w:eastAsia="Times New Roman"/>
          <w:szCs w:val="18"/>
          <w:lang w:val="fr-FR"/>
        </w:rPr>
        <w:t>r en liquidation judiciaire à l’</w:t>
      </w:r>
      <w:r w:rsidRPr="00F14B54">
        <w:rPr>
          <w:rFonts w:eastAsia="Times New Roman"/>
          <w:szCs w:val="18"/>
          <w:lang w:val="fr-FR"/>
        </w:rPr>
        <w:t xml:space="preserve">épreuve des évolutions récentes », </w:t>
      </w:r>
      <w:r w:rsidRPr="00F14B54">
        <w:rPr>
          <w:rFonts w:eastAsia="Times New Roman"/>
          <w:i/>
          <w:szCs w:val="18"/>
          <w:lang w:val="fr-FR"/>
        </w:rPr>
        <w:t>JCP E Semaine Juridique</w:t>
      </w:r>
      <w:r w:rsidRPr="00F14B54">
        <w:rPr>
          <w:rFonts w:eastAsia="Times New Roman"/>
          <w:szCs w:val="18"/>
          <w:lang w:val="fr-FR"/>
        </w:rPr>
        <w:t xml:space="preserve">, 31 mai 2012, n°22, p.14 et suivants ; </w:t>
      </w:r>
      <w:r w:rsidRPr="00F14B54">
        <w:rPr>
          <w:szCs w:val="18"/>
          <w:lang w:val="fr-FR"/>
        </w:rPr>
        <w:t xml:space="preserve">J. </w:t>
      </w:r>
      <w:proofErr w:type="spellStart"/>
      <w:r w:rsidRPr="00F14B54">
        <w:rPr>
          <w:smallCaps/>
          <w:szCs w:val="18"/>
          <w:lang w:val="fr-FR"/>
        </w:rPr>
        <w:t>Theron</w:t>
      </w:r>
      <w:proofErr w:type="spellEnd"/>
      <w:r w:rsidRPr="00F14B54">
        <w:rPr>
          <w:szCs w:val="18"/>
          <w:lang w:val="fr-FR"/>
        </w:rPr>
        <w:t xml:space="preserve"> </w:t>
      </w:r>
      <w:r w:rsidRPr="00F14B54">
        <w:rPr>
          <w:i/>
          <w:szCs w:val="18"/>
          <w:lang w:val="fr-FR"/>
        </w:rPr>
        <w:t xml:space="preserve">in </w:t>
      </w:r>
      <w:r w:rsidRPr="00F14B54">
        <w:rPr>
          <w:rFonts w:eastAsia="Times New Roman"/>
          <w:szCs w:val="18"/>
          <w:lang w:val="fr-FR"/>
        </w:rPr>
        <w:t xml:space="preserve">« Les contours du dessaisissement du débiteur en liquidation judiciaire », </w:t>
      </w:r>
      <w:r w:rsidRPr="00F14B54">
        <w:rPr>
          <w:rFonts w:eastAsia="Times New Roman"/>
          <w:i/>
          <w:szCs w:val="18"/>
          <w:lang w:val="fr-FR"/>
        </w:rPr>
        <w:t>Revue des procédures collectives</w:t>
      </w:r>
      <w:r w:rsidRPr="00F14B54">
        <w:rPr>
          <w:rFonts w:eastAsia="Times New Roman"/>
          <w:szCs w:val="18"/>
          <w:lang w:val="fr-FR"/>
        </w:rPr>
        <w:t>, 1</w:t>
      </w:r>
      <w:r w:rsidRPr="00F14B54">
        <w:rPr>
          <w:rFonts w:eastAsia="Times New Roman"/>
          <w:szCs w:val="18"/>
          <w:vertAlign w:val="superscript"/>
          <w:lang w:val="fr-FR"/>
        </w:rPr>
        <w:t>er</w:t>
      </w:r>
      <w:r w:rsidRPr="00F14B54">
        <w:rPr>
          <w:rFonts w:eastAsia="Times New Roman"/>
          <w:szCs w:val="18"/>
          <w:lang w:val="fr-FR"/>
        </w:rPr>
        <w:t xml:space="preserve"> janvier 2013, n°</w:t>
      </w:r>
      <w:r w:rsidR="00A2648B">
        <w:rPr>
          <w:rFonts w:eastAsia="Times New Roman"/>
          <w:szCs w:val="18"/>
          <w:lang w:val="fr-FR"/>
        </w:rPr>
        <w:t xml:space="preserve"> </w:t>
      </w:r>
      <w:r w:rsidRPr="00F14B54">
        <w:rPr>
          <w:rFonts w:eastAsia="Times New Roman"/>
          <w:szCs w:val="18"/>
          <w:lang w:val="fr-FR"/>
        </w:rPr>
        <w:t>1, dossier 3, p.</w:t>
      </w:r>
      <w:r w:rsidR="00A2648B">
        <w:rPr>
          <w:rFonts w:eastAsia="Times New Roman"/>
          <w:szCs w:val="18"/>
          <w:lang w:val="fr-FR"/>
        </w:rPr>
        <w:t xml:space="preserve"> </w:t>
      </w:r>
      <w:r w:rsidRPr="00F14B54">
        <w:rPr>
          <w:rFonts w:eastAsia="Times New Roman"/>
          <w:szCs w:val="18"/>
          <w:lang w:val="fr-FR"/>
        </w:rPr>
        <w:t xml:space="preserve">58-63 et B. </w:t>
      </w:r>
      <w:proofErr w:type="spellStart"/>
      <w:r w:rsidRPr="00F14B54">
        <w:rPr>
          <w:rFonts w:eastAsia="Times New Roman"/>
          <w:smallCaps/>
          <w:szCs w:val="18"/>
          <w:lang w:val="fr-FR"/>
        </w:rPr>
        <w:t>Thullier</w:t>
      </w:r>
      <w:proofErr w:type="spellEnd"/>
      <w:r w:rsidRPr="00F14B54">
        <w:rPr>
          <w:szCs w:val="18"/>
          <w:lang w:val="fr-FR"/>
        </w:rPr>
        <w:t xml:space="preserve"> </w:t>
      </w:r>
      <w:r w:rsidRPr="00F14B54">
        <w:rPr>
          <w:i/>
          <w:szCs w:val="18"/>
          <w:lang w:val="fr-FR"/>
        </w:rPr>
        <w:t>in</w:t>
      </w:r>
      <w:r w:rsidRPr="00F14B54">
        <w:rPr>
          <w:szCs w:val="18"/>
          <w:lang w:val="fr-FR"/>
        </w:rPr>
        <w:t xml:space="preserve"> « Que reste-t-il du dessaisissement ? », </w:t>
      </w:r>
      <w:r w:rsidRPr="00F14B54">
        <w:rPr>
          <w:i/>
          <w:szCs w:val="18"/>
          <w:lang w:val="fr-FR"/>
        </w:rPr>
        <w:t>Revue des procédures collectives</w:t>
      </w:r>
      <w:r w:rsidRPr="00F14B54">
        <w:rPr>
          <w:szCs w:val="18"/>
          <w:lang w:val="fr-FR"/>
        </w:rPr>
        <w:t>, 1</w:t>
      </w:r>
      <w:r w:rsidRPr="00F14B54">
        <w:rPr>
          <w:szCs w:val="18"/>
          <w:vertAlign w:val="superscript"/>
          <w:lang w:val="fr-FR"/>
        </w:rPr>
        <w:t>er</w:t>
      </w:r>
      <w:r w:rsidRPr="00F14B54">
        <w:rPr>
          <w:szCs w:val="18"/>
          <w:lang w:val="fr-FR"/>
        </w:rPr>
        <w:t xml:space="preserve"> mai 2012, n°</w:t>
      </w:r>
      <w:r w:rsidR="00A2648B">
        <w:rPr>
          <w:szCs w:val="18"/>
          <w:lang w:val="fr-FR"/>
        </w:rPr>
        <w:t xml:space="preserve"> </w:t>
      </w:r>
      <w:r w:rsidRPr="00F14B54">
        <w:rPr>
          <w:szCs w:val="18"/>
          <w:lang w:val="fr-FR"/>
        </w:rPr>
        <w:t>3, p.</w:t>
      </w:r>
      <w:r w:rsidR="00A2648B">
        <w:rPr>
          <w:szCs w:val="18"/>
          <w:lang w:val="fr-FR"/>
        </w:rPr>
        <w:t xml:space="preserve"> </w:t>
      </w:r>
      <w:r w:rsidRPr="00F14B54">
        <w:rPr>
          <w:szCs w:val="18"/>
          <w:lang w:val="fr-FR"/>
        </w:rPr>
        <w:t>80 et suivants.</w:t>
      </w:r>
    </w:p>
  </w:footnote>
  <w:footnote w:id="39">
    <w:p w14:paraId="464CB000" w14:textId="1D2F2BD1" w:rsidR="00704A68" w:rsidRPr="00F14B54" w:rsidRDefault="00704A68" w:rsidP="0069582B">
      <w:pPr>
        <w:pStyle w:val="Notedebasdepage"/>
        <w:contextualSpacing/>
        <w:rPr>
          <w:szCs w:val="18"/>
          <w:lang w:val="fr-FR"/>
        </w:rPr>
      </w:pPr>
      <w:r w:rsidRPr="00F14B54">
        <w:rPr>
          <w:rStyle w:val="Marquenotebasdepage"/>
          <w:szCs w:val="18"/>
        </w:rPr>
        <w:footnoteRef/>
      </w:r>
      <w:r>
        <w:rPr>
          <w:szCs w:val="18"/>
          <w:lang w:val="fr-FR"/>
        </w:rPr>
        <w:t xml:space="preserve"> A</w:t>
      </w:r>
      <w:r w:rsidRPr="00F14B54">
        <w:rPr>
          <w:szCs w:val="18"/>
          <w:lang w:val="fr-FR"/>
        </w:rPr>
        <w:t xml:space="preserve"> ce sujet, voir H. </w:t>
      </w:r>
      <w:r w:rsidRPr="00F14B54">
        <w:rPr>
          <w:smallCaps/>
          <w:szCs w:val="18"/>
          <w:lang w:val="fr-FR"/>
        </w:rPr>
        <w:t>frémont</w:t>
      </w:r>
      <w:r w:rsidRPr="00F14B54">
        <w:rPr>
          <w:szCs w:val="18"/>
          <w:lang w:val="fr-FR"/>
        </w:rPr>
        <w:t xml:space="preserve"> </w:t>
      </w:r>
      <w:r w:rsidRPr="00F14B54">
        <w:rPr>
          <w:i/>
          <w:szCs w:val="18"/>
          <w:lang w:val="fr-FR"/>
        </w:rPr>
        <w:t xml:space="preserve">in </w:t>
      </w:r>
      <w:r w:rsidRPr="00F14B54">
        <w:rPr>
          <w:szCs w:val="18"/>
          <w:lang w:val="fr-FR"/>
        </w:rPr>
        <w:t xml:space="preserve">« Droit du travail et procédure collective : une réforme impossible ? », </w:t>
      </w:r>
      <w:r w:rsidRPr="00F14B54">
        <w:rPr>
          <w:i/>
          <w:szCs w:val="18"/>
          <w:lang w:val="fr-FR"/>
        </w:rPr>
        <w:t>Bulletin Joly Entreprises en difficulté</w:t>
      </w:r>
      <w:r>
        <w:rPr>
          <w:szCs w:val="18"/>
          <w:lang w:val="fr-FR"/>
        </w:rPr>
        <w:t>, 1</w:t>
      </w:r>
      <w:r w:rsidRPr="00864AE1">
        <w:rPr>
          <w:szCs w:val="18"/>
          <w:vertAlign w:val="superscript"/>
          <w:lang w:val="fr-FR"/>
        </w:rPr>
        <w:t>er</w:t>
      </w:r>
      <w:r>
        <w:rPr>
          <w:szCs w:val="18"/>
          <w:lang w:val="fr-FR"/>
        </w:rPr>
        <w:t xml:space="preserve"> mars </w:t>
      </w:r>
      <w:r w:rsidRPr="00F14B54">
        <w:rPr>
          <w:szCs w:val="18"/>
          <w:lang w:val="fr-FR"/>
        </w:rPr>
        <w:t>2014, n°</w:t>
      </w:r>
      <w:r w:rsidR="00A2648B">
        <w:rPr>
          <w:szCs w:val="18"/>
          <w:lang w:val="fr-FR"/>
        </w:rPr>
        <w:t xml:space="preserve"> </w:t>
      </w:r>
      <w:r w:rsidRPr="00F14B54">
        <w:rPr>
          <w:szCs w:val="18"/>
          <w:lang w:val="fr-FR"/>
        </w:rPr>
        <w:t>2, p.</w:t>
      </w:r>
      <w:r w:rsidR="00A2648B">
        <w:rPr>
          <w:szCs w:val="18"/>
          <w:lang w:val="fr-FR"/>
        </w:rPr>
        <w:t xml:space="preserve"> </w:t>
      </w:r>
      <w:r w:rsidRPr="00F14B54">
        <w:rPr>
          <w:szCs w:val="18"/>
          <w:lang w:val="fr-FR"/>
        </w:rPr>
        <w:t xml:space="preserve">123. </w:t>
      </w:r>
    </w:p>
  </w:footnote>
  <w:footnote w:id="40">
    <w:p w14:paraId="0708CECA" w14:textId="35B0AAC5" w:rsidR="00704A68" w:rsidRPr="00F14B54" w:rsidRDefault="00704A68" w:rsidP="0069582B">
      <w:pPr>
        <w:pStyle w:val="Notedebasdepage"/>
        <w:contextualSpacing/>
        <w:rPr>
          <w:szCs w:val="18"/>
          <w:lang w:val="fr-FR"/>
        </w:rPr>
      </w:pPr>
      <w:r w:rsidRPr="00F14B54">
        <w:rPr>
          <w:rStyle w:val="Marquenotebasdepage"/>
          <w:szCs w:val="18"/>
        </w:rPr>
        <w:footnoteRef/>
      </w:r>
      <w:r>
        <w:rPr>
          <w:szCs w:val="18"/>
          <w:lang w:val="fr-FR"/>
        </w:rPr>
        <w:t xml:space="preserve"> Voir </w:t>
      </w:r>
      <w:r w:rsidRPr="007E7FE0">
        <w:rPr>
          <w:szCs w:val="18"/>
          <w:lang w:val="fr-FR"/>
        </w:rPr>
        <w:t xml:space="preserve">A. </w:t>
      </w:r>
      <w:proofErr w:type="spellStart"/>
      <w:r w:rsidRPr="00F14B54">
        <w:rPr>
          <w:smallCaps/>
          <w:szCs w:val="18"/>
          <w:lang w:val="fr-FR"/>
        </w:rPr>
        <w:t>Donnette</w:t>
      </w:r>
      <w:proofErr w:type="spellEnd"/>
      <w:r>
        <w:rPr>
          <w:smallCaps/>
          <w:szCs w:val="18"/>
          <w:lang w:val="fr-FR"/>
        </w:rPr>
        <w:t xml:space="preserve"> </w:t>
      </w:r>
      <w:r w:rsidRPr="00F14B54">
        <w:rPr>
          <w:i/>
          <w:szCs w:val="18"/>
          <w:lang w:val="fr-FR"/>
        </w:rPr>
        <w:t>in</w:t>
      </w:r>
      <w:r w:rsidRPr="00F14B54">
        <w:rPr>
          <w:szCs w:val="18"/>
          <w:lang w:val="fr-FR"/>
        </w:rPr>
        <w:t xml:space="preserve"> « Droit des entreprises en difficulté et droit du travail : tentative de clarifications »,  </w:t>
      </w:r>
      <w:r w:rsidRPr="00F14B54">
        <w:rPr>
          <w:i/>
          <w:szCs w:val="18"/>
          <w:lang w:val="fr-FR"/>
        </w:rPr>
        <w:t>Bulletin Joly Entreprises en difficulté</w:t>
      </w:r>
      <w:r w:rsidRPr="00F14B54">
        <w:rPr>
          <w:szCs w:val="18"/>
          <w:lang w:val="fr-FR"/>
        </w:rPr>
        <w:t>, n°</w:t>
      </w:r>
      <w:r w:rsidR="00A2648B">
        <w:rPr>
          <w:szCs w:val="18"/>
          <w:lang w:val="fr-FR"/>
        </w:rPr>
        <w:t xml:space="preserve"> </w:t>
      </w:r>
      <w:r w:rsidRPr="00F14B54">
        <w:rPr>
          <w:szCs w:val="18"/>
          <w:lang w:val="fr-FR"/>
        </w:rPr>
        <w:t xml:space="preserve">3. </w:t>
      </w:r>
    </w:p>
  </w:footnote>
  <w:footnote w:id="41">
    <w:p w14:paraId="77F1C63D" w14:textId="5D8F4C7D"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C. </w:t>
      </w:r>
      <w:proofErr w:type="spellStart"/>
      <w:r w:rsidRPr="00F14B54">
        <w:rPr>
          <w:smallCaps/>
          <w:szCs w:val="18"/>
          <w:lang w:val="fr-FR"/>
        </w:rPr>
        <w:t>Jottreau</w:t>
      </w:r>
      <w:proofErr w:type="spellEnd"/>
      <w:r w:rsidRPr="00F14B54">
        <w:rPr>
          <w:szCs w:val="18"/>
          <w:lang w:val="fr-FR"/>
        </w:rPr>
        <w:t xml:space="preserve"> </w:t>
      </w:r>
      <w:r w:rsidRPr="00F14B54">
        <w:rPr>
          <w:i/>
          <w:szCs w:val="18"/>
          <w:lang w:val="fr-FR"/>
        </w:rPr>
        <w:t xml:space="preserve">in </w:t>
      </w:r>
      <w:r w:rsidRPr="005F3221">
        <w:rPr>
          <w:szCs w:val="18"/>
          <w:lang w:val="fr-FR"/>
        </w:rPr>
        <w:t>« </w:t>
      </w:r>
      <w:r w:rsidRPr="005F3221">
        <w:rPr>
          <w:iCs/>
          <w:szCs w:val="18"/>
          <w:lang w:val="fr-FR"/>
        </w:rPr>
        <w:t>Le sort de la relation de travail dans les entreprises en difficulté »</w:t>
      </w:r>
      <w:r w:rsidRPr="00F14B54">
        <w:rPr>
          <w:szCs w:val="18"/>
          <w:lang w:val="fr-FR"/>
        </w:rPr>
        <w:t xml:space="preserve">, </w:t>
      </w:r>
      <w:proofErr w:type="spellStart"/>
      <w:r w:rsidRPr="00F14B54">
        <w:rPr>
          <w:i/>
          <w:szCs w:val="18"/>
          <w:lang w:val="fr-FR"/>
        </w:rPr>
        <w:t>LexisNexis</w:t>
      </w:r>
      <w:proofErr w:type="spellEnd"/>
      <w:r w:rsidRPr="00F14B54">
        <w:rPr>
          <w:szCs w:val="18"/>
          <w:lang w:val="fr-FR"/>
        </w:rPr>
        <w:t xml:space="preserve">, collection Thèses, Janvier 2016. </w:t>
      </w:r>
    </w:p>
  </w:footnote>
  <w:footnote w:id="42">
    <w:p w14:paraId="114F0E78" w14:textId="301FD574"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G. </w:t>
      </w:r>
      <w:proofErr w:type="spellStart"/>
      <w:r w:rsidRPr="00F14B54">
        <w:rPr>
          <w:smallCaps/>
          <w:szCs w:val="18"/>
          <w:lang w:val="fr-FR"/>
        </w:rPr>
        <w:t>Dedessus</w:t>
      </w:r>
      <w:proofErr w:type="spellEnd"/>
      <w:r w:rsidRPr="00F14B54">
        <w:rPr>
          <w:smallCaps/>
          <w:szCs w:val="18"/>
          <w:lang w:val="fr-FR"/>
        </w:rPr>
        <w:t xml:space="preserve"> Le-Moustier</w:t>
      </w:r>
      <w:r w:rsidRPr="00F14B54">
        <w:rPr>
          <w:szCs w:val="18"/>
          <w:lang w:val="fr-FR"/>
        </w:rPr>
        <w:t xml:space="preserve"> </w:t>
      </w:r>
      <w:r w:rsidRPr="00F14B54">
        <w:rPr>
          <w:i/>
          <w:szCs w:val="18"/>
          <w:lang w:val="fr-FR"/>
        </w:rPr>
        <w:t xml:space="preserve">in </w:t>
      </w:r>
      <w:r w:rsidRPr="00F14B54">
        <w:rPr>
          <w:szCs w:val="18"/>
          <w:lang w:val="fr-FR"/>
        </w:rPr>
        <w:t xml:space="preserve">« Les fonctions supplétives du représentant des salariés dans le cadre de la procédure collective », </w:t>
      </w:r>
      <w:r w:rsidRPr="00F14B54">
        <w:rPr>
          <w:i/>
          <w:szCs w:val="18"/>
          <w:lang w:val="fr-FR"/>
        </w:rPr>
        <w:t>EDED</w:t>
      </w:r>
      <w:r>
        <w:rPr>
          <w:szCs w:val="18"/>
          <w:lang w:val="fr-FR"/>
        </w:rPr>
        <w:t xml:space="preserve">, 2 mai </w:t>
      </w:r>
      <w:r w:rsidRPr="00F14B54">
        <w:rPr>
          <w:szCs w:val="18"/>
          <w:lang w:val="fr-FR"/>
        </w:rPr>
        <w:t>2013, n°</w:t>
      </w:r>
      <w:r w:rsidR="00A2648B">
        <w:rPr>
          <w:szCs w:val="18"/>
          <w:lang w:val="fr-FR"/>
        </w:rPr>
        <w:t xml:space="preserve"> </w:t>
      </w:r>
      <w:r w:rsidRPr="00F14B54">
        <w:rPr>
          <w:szCs w:val="18"/>
          <w:lang w:val="fr-FR"/>
        </w:rPr>
        <w:t>5, p.</w:t>
      </w:r>
      <w:r w:rsidR="00A2648B">
        <w:rPr>
          <w:szCs w:val="18"/>
          <w:lang w:val="fr-FR"/>
        </w:rPr>
        <w:t xml:space="preserve"> </w:t>
      </w:r>
      <w:r w:rsidRPr="00F14B54">
        <w:rPr>
          <w:szCs w:val="18"/>
          <w:lang w:val="fr-FR"/>
        </w:rPr>
        <w:t>7.</w:t>
      </w:r>
    </w:p>
  </w:footnote>
  <w:footnote w:id="43">
    <w:p w14:paraId="20EAD242" w14:textId="39960369"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F-X</w:t>
      </w:r>
      <w:r>
        <w:rPr>
          <w:szCs w:val="18"/>
          <w:lang w:val="fr-FR"/>
        </w:rPr>
        <w:t>.</w:t>
      </w:r>
      <w:r w:rsidRPr="00F14B54">
        <w:rPr>
          <w:szCs w:val="18"/>
          <w:lang w:val="fr-FR"/>
        </w:rPr>
        <w:t xml:space="preserve"> </w:t>
      </w:r>
      <w:r w:rsidRPr="00F14B54">
        <w:rPr>
          <w:smallCaps/>
          <w:szCs w:val="18"/>
          <w:lang w:val="fr-FR"/>
        </w:rPr>
        <w:t>Lucas</w:t>
      </w:r>
      <w:r w:rsidRPr="00F14B54">
        <w:rPr>
          <w:szCs w:val="18"/>
          <w:lang w:val="fr-FR"/>
        </w:rPr>
        <w:t xml:space="preserve"> </w:t>
      </w:r>
      <w:r w:rsidRPr="00F14B54">
        <w:rPr>
          <w:i/>
          <w:szCs w:val="18"/>
          <w:lang w:val="fr-FR"/>
        </w:rPr>
        <w:t>in</w:t>
      </w:r>
      <w:r w:rsidRPr="00F14B54">
        <w:rPr>
          <w:szCs w:val="18"/>
          <w:lang w:val="fr-FR"/>
        </w:rPr>
        <w:t xml:space="preserve"> « Quarante années de prise en charge des créances salariales dans les procédures collectives », </w:t>
      </w:r>
      <w:r w:rsidRPr="00F14B54">
        <w:rPr>
          <w:i/>
          <w:szCs w:val="18"/>
          <w:lang w:val="fr-FR"/>
        </w:rPr>
        <w:t>Bulletin Joly Entreprises en difficulté</w:t>
      </w:r>
      <w:r w:rsidRPr="00F14B54">
        <w:rPr>
          <w:szCs w:val="18"/>
          <w:lang w:val="fr-FR"/>
        </w:rPr>
        <w:t>, n°</w:t>
      </w:r>
      <w:r w:rsidR="00A2648B">
        <w:rPr>
          <w:szCs w:val="18"/>
          <w:lang w:val="fr-FR"/>
        </w:rPr>
        <w:t xml:space="preserve"> 6</w:t>
      </w:r>
      <w:r w:rsidRPr="00F14B54">
        <w:rPr>
          <w:szCs w:val="18"/>
          <w:lang w:val="fr-FR"/>
        </w:rPr>
        <w:t>, p.</w:t>
      </w:r>
      <w:r w:rsidR="00A2648B">
        <w:rPr>
          <w:szCs w:val="18"/>
          <w:lang w:val="fr-FR"/>
        </w:rPr>
        <w:t xml:space="preserve"> </w:t>
      </w:r>
      <w:r w:rsidRPr="00F14B54">
        <w:rPr>
          <w:szCs w:val="18"/>
          <w:lang w:val="fr-FR"/>
        </w:rPr>
        <w:t xml:space="preserve">409. </w:t>
      </w:r>
    </w:p>
  </w:footnote>
  <w:footnote w:id="44">
    <w:p w14:paraId="6B90FE72" w14:textId="62DDDD51"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à ce sujet, C. </w:t>
      </w:r>
      <w:proofErr w:type="spellStart"/>
      <w:r w:rsidRPr="00F14B54">
        <w:rPr>
          <w:smallCaps/>
          <w:szCs w:val="18"/>
          <w:lang w:val="fr-FR"/>
        </w:rPr>
        <w:t>Calomili</w:t>
      </w:r>
      <w:proofErr w:type="spellEnd"/>
      <w:r w:rsidRPr="00F14B54">
        <w:rPr>
          <w:szCs w:val="18"/>
          <w:lang w:val="fr-FR"/>
        </w:rPr>
        <w:t xml:space="preserve"> </w:t>
      </w:r>
      <w:r w:rsidRPr="00F14B54">
        <w:rPr>
          <w:i/>
          <w:szCs w:val="18"/>
          <w:lang w:val="fr-FR"/>
        </w:rPr>
        <w:t>in</w:t>
      </w:r>
      <w:r>
        <w:rPr>
          <w:szCs w:val="18"/>
          <w:lang w:val="fr-FR"/>
        </w:rPr>
        <w:t xml:space="preserve"> « L’</w:t>
      </w:r>
      <w:r w:rsidRPr="00F14B54">
        <w:rPr>
          <w:szCs w:val="18"/>
          <w:lang w:val="fr-FR"/>
        </w:rPr>
        <w:t xml:space="preserve">efficacité du </w:t>
      </w:r>
      <w:proofErr w:type="spellStart"/>
      <w:r w:rsidRPr="00F14B54">
        <w:rPr>
          <w:szCs w:val="18"/>
          <w:lang w:val="fr-FR"/>
        </w:rPr>
        <w:t>superprivilège</w:t>
      </w:r>
      <w:proofErr w:type="spellEnd"/>
      <w:r w:rsidRPr="00F14B54">
        <w:rPr>
          <w:szCs w:val="18"/>
          <w:lang w:val="fr-FR"/>
        </w:rPr>
        <w:t xml:space="preserve"> des salaires », </w:t>
      </w:r>
      <w:r w:rsidRPr="00F14B54">
        <w:rPr>
          <w:i/>
          <w:szCs w:val="18"/>
          <w:lang w:val="fr-FR"/>
        </w:rPr>
        <w:t>Petites affiches</w:t>
      </w:r>
      <w:r>
        <w:rPr>
          <w:szCs w:val="18"/>
          <w:lang w:val="fr-FR"/>
        </w:rPr>
        <w:t xml:space="preserve">, 11 février </w:t>
      </w:r>
      <w:r w:rsidRPr="00F14B54">
        <w:rPr>
          <w:szCs w:val="18"/>
          <w:lang w:val="fr-FR"/>
        </w:rPr>
        <w:t>2011, n°</w:t>
      </w:r>
      <w:r w:rsidR="00A2648B">
        <w:rPr>
          <w:szCs w:val="18"/>
          <w:lang w:val="fr-FR"/>
        </w:rPr>
        <w:t xml:space="preserve"> </w:t>
      </w:r>
      <w:r w:rsidRPr="00F14B54">
        <w:rPr>
          <w:szCs w:val="18"/>
          <w:lang w:val="fr-FR"/>
        </w:rPr>
        <w:t>30, p.</w:t>
      </w:r>
      <w:r w:rsidR="00A2648B">
        <w:rPr>
          <w:szCs w:val="18"/>
          <w:lang w:val="fr-FR"/>
        </w:rPr>
        <w:t xml:space="preserve"> </w:t>
      </w:r>
      <w:r w:rsidRPr="00F14B54">
        <w:rPr>
          <w:szCs w:val="18"/>
          <w:lang w:val="fr-FR"/>
        </w:rPr>
        <w:t>20.</w:t>
      </w:r>
    </w:p>
  </w:footnote>
  <w:footnote w:id="45">
    <w:p w14:paraId="347E5EC4" w14:textId="7BA3A760"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P. </w:t>
      </w:r>
      <w:r w:rsidRPr="00F14B54">
        <w:rPr>
          <w:smallCaps/>
          <w:szCs w:val="18"/>
          <w:lang w:val="fr-FR"/>
        </w:rPr>
        <w:t>Bailly</w:t>
      </w:r>
      <w:r w:rsidRPr="00F14B54">
        <w:rPr>
          <w:szCs w:val="18"/>
          <w:lang w:val="fr-FR"/>
        </w:rPr>
        <w:t xml:space="preserve"> </w:t>
      </w:r>
      <w:r w:rsidRPr="00F14B54">
        <w:rPr>
          <w:i/>
          <w:szCs w:val="18"/>
          <w:lang w:val="fr-FR"/>
        </w:rPr>
        <w:t>in</w:t>
      </w:r>
      <w:r w:rsidRPr="00F14B54">
        <w:rPr>
          <w:szCs w:val="18"/>
          <w:lang w:val="fr-FR"/>
        </w:rPr>
        <w:t xml:space="preserve"> « Les licenciements et les procédures collectives », </w:t>
      </w:r>
      <w:r w:rsidRPr="00F14B54">
        <w:rPr>
          <w:i/>
          <w:szCs w:val="18"/>
          <w:lang w:val="fr-FR"/>
        </w:rPr>
        <w:t>Gazette du Palais</w:t>
      </w:r>
      <w:r>
        <w:rPr>
          <w:szCs w:val="18"/>
          <w:lang w:val="fr-FR"/>
        </w:rPr>
        <w:t xml:space="preserve">, 8 novembre </w:t>
      </w:r>
      <w:r w:rsidRPr="00F14B54">
        <w:rPr>
          <w:szCs w:val="18"/>
          <w:lang w:val="fr-FR"/>
        </w:rPr>
        <w:t>2008, n°</w:t>
      </w:r>
      <w:r w:rsidR="00A2648B">
        <w:rPr>
          <w:szCs w:val="18"/>
          <w:lang w:val="fr-FR"/>
        </w:rPr>
        <w:t xml:space="preserve"> </w:t>
      </w:r>
      <w:r w:rsidRPr="00F14B54">
        <w:rPr>
          <w:szCs w:val="18"/>
          <w:lang w:val="fr-FR"/>
        </w:rPr>
        <w:t>313, p.</w:t>
      </w:r>
      <w:r w:rsidR="00A2648B">
        <w:rPr>
          <w:szCs w:val="18"/>
          <w:lang w:val="fr-FR"/>
        </w:rPr>
        <w:t xml:space="preserve"> </w:t>
      </w:r>
      <w:r w:rsidRPr="00F14B54">
        <w:rPr>
          <w:szCs w:val="18"/>
          <w:lang w:val="fr-FR"/>
        </w:rPr>
        <w:t>3.</w:t>
      </w:r>
    </w:p>
  </w:footnote>
  <w:footnote w:id="46">
    <w:p w14:paraId="6F0648B6"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Il ne faudrait pas en effet qu’un débiteur se place en sauvegarde afin de bénéficier des avantages liés à l’interdiction des paiements et qu’il puisse également licencier ses salariés au détriment de leurs droits.</w:t>
      </w:r>
    </w:p>
  </w:footnote>
  <w:footnote w:id="47">
    <w:p w14:paraId="5F206135"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Conformément aux dispositions de l’article L.631-17 du Code de commerce. </w:t>
      </w:r>
    </w:p>
  </w:footnote>
  <w:footnote w:id="48">
    <w:p w14:paraId="783E0817" w14:textId="0769400A"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C. </w:t>
      </w:r>
      <w:proofErr w:type="spellStart"/>
      <w:r w:rsidRPr="00F14B54">
        <w:rPr>
          <w:smallCaps/>
          <w:szCs w:val="18"/>
          <w:lang w:val="fr-FR"/>
        </w:rPr>
        <w:t>Berlaud</w:t>
      </w:r>
      <w:proofErr w:type="spellEnd"/>
      <w:r w:rsidRPr="00F14B54">
        <w:rPr>
          <w:szCs w:val="18"/>
          <w:lang w:val="fr-FR"/>
        </w:rPr>
        <w:t xml:space="preserve"> </w:t>
      </w:r>
      <w:r w:rsidRPr="00F14B54">
        <w:rPr>
          <w:i/>
          <w:szCs w:val="18"/>
          <w:lang w:val="fr-FR"/>
        </w:rPr>
        <w:t>in</w:t>
      </w:r>
      <w:r w:rsidRPr="00F14B54">
        <w:rPr>
          <w:szCs w:val="18"/>
          <w:lang w:val="fr-FR"/>
        </w:rPr>
        <w:t xml:space="preserve"> « Licenciements économiques et liquidation judiciaire », </w:t>
      </w:r>
      <w:r w:rsidRPr="00F14B54">
        <w:rPr>
          <w:i/>
          <w:szCs w:val="18"/>
          <w:lang w:val="fr-FR"/>
        </w:rPr>
        <w:t>Gazette du Palais</w:t>
      </w:r>
      <w:r>
        <w:rPr>
          <w:szCs w:val="18"/>
          <w:lang w:val="fr-FR"/>
        </w:rPr>
        <w:t xml:space="preserve">, 12 avril </w:t>
      </w:r>
      <w:r w:rsidRPr="00F14B54">
        <w:rPr>
          <w:szCs w:val="18"/>
          <w:lang w:val="fr-FR"/>
        </w:rPr>
        <w:t>2016, n°</w:t>
      </w:r>
      <w:r w:rsidR="00A2648B">
        <w:rPr>
          <w:szCs w:val="18"/>
          <w:lang w:val="fr-FR"/>
        </w:rPr>
        <w:t xml:space="preserve"> </w:t>
      </w:r>
      <w:r w:rsidRPr="00F14B54">
        <w:rPr>
          <w:szCs w:val="18"/>
          <w:lang w:val="fr-FR"/>
        </w:rPr>
        <w:t>14, p.</w:t>
      </w:r>
      <w:r w:rsidR="00A2648B">
        <w:rPr>
          <w:szCs w:val="18"/>
          <w:lang w:val="fr-FR"/>
        </w:rPr>
        <w:t xml:space="preserve"> </w:t>
      </w:r>
      <w:r w:rsidRPr="00F14B54">
        <w:rPr>
          <w:szCs w:val="18"/>
          <w:lang w:val="fr-FR"/>
        </w:rPr>
        <w:t>41.</w:t>
      </w:r>
    </w:p>
  </w:footnote>
  <w:footnote w:id="49">
    <w:p w14:paraId="7EC95263" w14:textId="7393C7EA" w:rsidR="00704A68" w:rsidRPr="00F14B54" w:rsidRDefault="00704A68" w:rsidP="0069582B">
      <w:pPr>
        <w:widowControl w:val="0"/>
        <w:tabs>
          <w:tab w:val="left" w:pos="220"/>
          <w:tab w:val="left" w:pos="720"/>
        </w:tabs>
        <w:autoSpaceDE w:val="0"/>
        <w:autoSpaceDN w:val="0"/>
        <w:adjustRightInd w:val="0"/>
        <w:contextualSpacing/>
        <w:rPr>
          <w:sz w:val="18"/>
          <w:szCs w:val="18"/>
          <w:lang w:val="fr-FR"/>
        </w:rPr>
      </w:pPr>
      <w:r w:rsidRPr="00F14B54">
        <w:rPr>
          <w:rStyle w:val="Marquenotebasdepage"/>
          <w:sz w:val="18"/>
          <w:szCs w:val="18"/>
        </w:rPr>
        <w:footnoteRef/>
      </w:r>
      <w:r w:rsidRPr="00F14B54">
        <w:rPr>
          <w:sz w:val="18"/>
          <w:szCs w:val="18"/>
          <w:lang w:val="fr-FR"/>
        </w:rPr>
        <w:t xml:space="preserve"> Voir L-C. </w:t>
      </w:r>
      <w:r w:rsidRPr="00F14B54">
        <w:rPr>
          <w:smallCaps/>
          <w:sz w:val="18"/>
          <w:szCs w:val="18"/>
          <w:lang w:val="fr-FR"/>
        </w:rPr>
        <w:t>Henry</w:t>
      </w:r>
      <w:r w:rsidRPr="00F14B54">
        <w:rPr>
          <w:i/>
          <w:sz w:val="18"/>
          <w:szCs w:val="18"/>
          <w:lang w:val="fr-FR"/>
        </w:rPr>
        <w:t xml:space="preserve"> in</w:t>
      </w:r>
      <w:r w:rsidRPr="00F14B54">
        <w:rPr>
          <w:sz w:val="18"/>
          <w:szCs w:val="18"/>
          <w:lang w:val="fr-FR"/>
        </w:rPr>
        <w:t xml:space="preserve"> « Le droit des sociétés à l’épreuve des procédures collectives », </w:t>
      </w:r>
      <w:r w:rsidRPr="00F14B54">
        <w:rPr>
          <w:i/>
          <w:sz w:val="18"/>
          <w:szCs w:val="18"/>
          <w:lang w:val="fr-FR"/>
        </w:rPr>
        <w:t>Petites affiches</w:t>
      </w:r>
      <w:r>
        <w:rPr>
          <w:sz w:val="18"/>
          <w:szCs w:val="18"/>
          <w:lang w:val="fr-FR"/>
        </w:rPr>
        <w:t xml:space="preserve">, 15 juin </w:t>
      </w:r>
      <w:r w:rsidRPr="00F14B54">
        <w:rPr>
          <w:sz w:val="18"/>
          <w:szCs w:val="18"/>
          <w:lang w:val="fr-FR"/>
        </w:rPr>
        <w:t>2001, n°</w:t>
      </w:r>
      <w:r w:rsidR="00A2648B">
        <w:rPr>
          <w:sz w:val="18"/>
          <w:szCs w:val="18"/>
          <w:lang w:val="fr-FR"/>
        </w:rPr>
        <w:t xml:space="preserve"> </w:t>
      </w:r>
      <w:r w:rsidRPr="00F14B54">
        <w:rPr>
          <w:sz w:val="18"/>
          <w:szCs w:val="18"/>
          <w:lang w:val="fr-FR"/>
        </w:rPr>
        <w:t>119, p.</w:t>
      </w:r>
      <w:r w:rsidR="00A2648B">
        <w:rPr>
          <w:sz w:val="18"/>
          <w:szCs w:val="18"/>
          <w:lang w:val="fr-FR"/>
        </w:rPr>
        <w:t xml:space="preserve"> </w:t>
      </w:r>
      <w:r w:rsidRPr="00F14B54">
        <w:rPr>
          <w:sz w:val="18"/>
          <w:szCs w:val="18"/>
          <w:lang w:val="fr-FR"/>
        </w:rPr>
        <w:t>4.</w:t>
      </w:r>
    </w:p>
  </w:footnote>
  <w:footnote w:id="50">
    <w:p w14:paraId="0C6A9FDF" w14:textId="0AE31C98"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G. </w:t>
      </w:r>
      <w:r w:rsidRPr="00F14B54">
        <w:rPr>
          <w:smallCaps/>
          <w:szCs w:val="18"/>
          <w:lang w:val="fr-FR"/>
        </w:rPr>
        <w:t>Couturier</w:t>
      </w:r>
      <w:r w:rsidRPr="00F14B54">
        <w:rPr>
          <w:szCs w:val="18"/>
          <w:lang w:val="fr-FR"/>
        </w:rPr>
        <w:t xml:space="preserve"> </w:t>
      </w:r>
      <w:r w:rsidRPr="00F14B54">
        <w:rPr>
          <w:i/>
          <w:szCs w:val="18"/>
          <w:lang w:val="fr-FR"/>
        </w:rPr>
        <w:t xml:space="preserve">in </w:t>
      </w:r>
      <w:r>
        <w:rPr>
          <w:szCs w:val="18"/>
          <w:lang w:val="fr-FR"/>
        </w:rPr>
        <w:t>« </w:t>
      </w:r>
      <w:r w:rsidRPr="00F14B54">
        <w:rPr>
          <w:iCs/>
          <w:szCs w:val="18"/>
          <w:lang w:val="fr-FR"/>
        </w:rPr>
        <w:t>Droit des sociétés et droit des entreprises en difficulté</w:t>
      </w:r>
      <w:r>
        <w:rPr>
          <w:iCs/>
          <w:szCs w:val="18"/>
          <w:lang w:val="fr-FR"/>
        </w:rPr>
        <w:t> »</w:t>
      </w:r>
      <w:r w:rsidRPr="00F14B54">
        <w:rPr>
          <w:szCs w:val="18"/>
          <w:lang w:val="fr-FR"/>
        </w:rPr>
        <w:t xml:space="preserve">, </w:t>
      </w:r>
      <w:r w:rsidRPr="00F14B54">
        <w:rPr>
          <w:i/>
          <w:szCs w:val="18"/>
          <w:lang w:val="fr-FR"/>
        </w:rPr>
        <w:t>LGDJ</w:t>
      </w:r>
      <w:r w:rsidRPr="00F14B54">
        <w:rPr>
          <w:szCs w:val="18"/>
          <w:lang w:val="fr-FR"/>
        </w:rPr>
        <w:t xml:space="preserve">, coll. Thèses, Juillet 2013. </w:t>
      </w:r>
    </w:p>
  </w:footnote>
  <w:footnote w:id="51">
    <w:p w14:paraId="7183E3E2" w14:textId="437ED3E5"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F-X. </w:t>
      </w:r>
      <w:r w:rsidRPr="00F14B54">
        <w:rPr>
          <w:smallCaps/>
          <w:szCs w:val="18"/>
          <w:lang w:val="fr-FR"/>
        </w:rPr>
        <w:t>Lucas</w:t>
      </w:r>
      <w:r w:rsidRPr="00F14B54">
        <w:rPr>
          <w:szCs w:val="18"/>
          <w:lang w:val="fr-FR"/>
        </w:rPr>
        <w:t xml:space="preserve"> </w:t>
      </w:r>
      <w:r w:rsidRPr="00F14B54">
        <w:rPr>
          <w:i/>
          <w:szCs w:val="18"/>
          <w:lang w:val="fr-FR"/>
        </w:rPr>
        <w:t>in</w:t>
      </w:r>
      <w:r w:rsidRPr="00F14B54">
        <w:rPr>
          <w:szCs w:val="18"/>
          <w:lang w:val="fr-FR"/>
        </w:rPr>
        <w:t xml:space="preserve"> « L’ordonnance du 12 mars 2014 et le droit des sociétés », </w:t>
      </w:r>
      <w:r w:rsidRPr="00F14B54">
        <w:rPr>
          <w:i/>
          <w:szCs w:val="18"/>
          <w:lang w:val="fr-FR"/>
        </w:rPr>
        <w:t>Bulletin Joly Sociétés</w:t>
      </w:r>
      <w:r>
        <w:rPr>
          <w:szCs w:val="18"/>
          <w:lang w:val="fr-FR"/>
        </w:rPr>
        <w:t>, 1</w:t>
      </w:r>
      <w:r w:rsidRPr="005B29E9">
        <w:rPr>
          <w:szCs w:val="18"/>
          <w:vertAlign w:val="superscript"/>
          <w:lang w:val="fr-FR"/>
        </w:rPr>
        <w:t>er</w:t>
      </w:r>
      <w:r>
        <w:rPr>
          <w:szCs w:val="18"/>
          <w:lang w:val="fr-FR"/>
        </w:rPr>
        <w:t xml:space="preserve"> juin </w:t>
      </w:r>
      <w:r w:rsidRPr="00F14B54">
        <w:rPr>
          <w:szCs w:val="18"/>
          <w:lang w:val="fr-FR"/>
        </w:rPr>
        <w:t>2014, n°</w:t>
      </w:r>
      <w:r w:rsidR="00A2648B">
        <w:rPr>
          <w:szCs w:val="18"/>
          <w:lang w:val="fr-FR"/>
        </w:rPr>
        <w:t xml:space="preserve"> </w:t>
      </w:r>
      <w:r w:rsidRPr="00F14B54">
        <w:rPr>
          <w:szCs w:val="18"/>
          <w:lang w:val="fr-FR"/>
        </w:rPr>
        <w:t>6, p.</w:t>
      </w:r>
      <w:r w:rsidR="00A2648B">
        <w:rPr>
          <w:szCs w:val="18"/>
          <w:lang w:val="fr-FR"/>
        </w:rPr>
        <w:t xml:space="preserve"> </w:t>
      </w:r>
      <w:r w:rsidRPr="00F14B54">
        <w:rPr>
          <w:szCs w:val="18"/>
          <w:lang w:val="fr-FR"/>
        </w:rPr>
        <w:t>403.</w:t>
      </w:r>
    </w:p>
  </w:footnote>
  <w:footnote w:id="52">
    <w:p w14:paraId="6BCA45F1" w14:textId="34482EEE"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F-X. </w:t>
      </w:r>
      <w:r w:rsidRPr="00F14B54">
        <w:rPr>
          <w:smallCaps/>
          <w:szCs w:val="18"/>
          <w:lang w:val="fr-FR"/>
        </w:rPr>
        <w:t>Lucas</w:t>
      </w:r>
      <w:r w:rsidRPr="00F14B54">
        <w:rPr>
          <w:szCs w:val="18"/>
          <w:lang w:val="fr-FR"/>
        </w:rPr>
        <w:t xml:space="preserve"> </w:t>
      </w:r>
      <w:r w:rsidRPr="00F14B54">
        <w:rPr>
          <w:i/>
          <w:szCs w:val="18"/>
          <w:lang w:val="fr-FR"/>
        </w:rPr>
        <w:t xml:space="preserve">in </w:t>
      </w:r>
      <w:r w:rsidRPr="00F14B54">
        <w:rPr>
          <w:szCs w:val="18"/>
          <w:lang w:val="fr-FR"/>
        </w:rPr>
        <w:t xml:space="preserve">« Les associés et la procédure collective », </w:t>
      </w:r>
      <w:r w:rsidRPr="00F14B54">
        <w:rPr>
          <w:i/>
          <w:szCs w:val="18"/>
          <w:lang w:val="fr-FR"/>
        </w:rPr>
        <w:t>Petites affiches</w:t>
      </w:r>
      <w:r>
        <w:rPr>
          <w:szCs w:val="18"/>
          <w:lang w:val="fr-FR"/>
        </w:rPr>
        <w:t xml:space="preserve">, 9 janvier </w:t>
      </w:r>
      <w:r w:rsidRPr="00F14B54">
        <w:rPr>
          <w:szCs w:val="18"/>
          <w:lang w:val="fr-FR"/>
        </w:rPr>
        <w:t>2002, n°</w:t>
      </w:r>
      <w:r w:rsidR="00A2648B">
        <w:rPr>
          <w:szCs w:val="18"/>
          <w:lang w:val="fr-FR"/>
        </w:rPr>
        <w:t xml:space="preserve"> </w:t>
      </w:r>
      <w:r w:rsidRPr="00F14B54">
        <w:rPr>
          <w:szCs w:val="18"/>
          <w:lang w:val="fr-FR"/>
        </w:rPr>
        <w:t>7, p.7.</w:t>
      </w:r>
    </w:p>
  </w:footnote>
  <w:footnote w:id="53">
    <w:p w14:paraId="49EA1DAB" w14:textId="47A979AD"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en ce sens</w:t>
      </w:r>
      <w:r>
        <w:rPr>
          <w:szCs w:val="18"/>
          <w:lang w:val="fr-FR"/>
        </w:rPr>
        <w:t>,</w:t>
      </w:r>
      <w:r w:rsidRPr="00F14B54">
        <w:rPr>
          <w:szCs w:val="18"/>
          <w:lang w:val="fr-FR"/>
        </w:rPr>
        <w:t xml:space="preserve"> l’article L.621-2 du Code de commerce. </w:t>
      </w:r>
    </w:p>
  </w:footnote>
  <w:footnote w:id="54">
    <w:p w14:paraId="35811159" w14:textId="013CAB8D" w:rsidR="00704A68" w:rsidRPr="00F14B54" w:rsidRDefault="00704A68" w:rsidP="0069582B">
      <w:pPr>
        <w:tabs>
          <w:tab w:val="left" w:pos="3896"/>
        </w:tabs>
        <w:contextualSpacing/>
        <w:rPr>
          <w:sz w:val="18"/>
          <w:szCs w:val="18"/>
          <w:lang w:val="fr-FR"/>
        </w:rPr>
      </w:pPr>
      <w:r w:rsidRPr="00F14B54">
        <w:rPr>
          <w:rStyle w:val="Marquenotebasdepage"/>
          <w:sz w:val="18"/>
          <w:szCs w:val="18"/>
        </w:rPr>
        <w:footnoteRef/>
      </w:r>
      <w:r w:rsidRPr="00F14B54">
        <w:rPr>
          <w:sz w:val="18"/>
          <w:szCs w:val="18"/>
          <w:lang w:val="fr-FR"/>
        </w:rPr>
        <w:t xml:space="preserve"> Voir F-X</w:t>
      </w:r>
      <w:r>
        <w:rPr>
          <w:sz w:val="18"/>
          <w:szCs w:val="18"/>
          <w:lang w:val="fr-FR"/>
        </w:rPr>
        <w:t>.</w:t>
      </w:r>
      <w:r w:rsidRPr="00F14B54">
        <w:rPr>
          <w:sz w:val="18"/>
          <w:szCs w:val="18"/>
          <w:lang w:val="fr-FR"/>
        </w:rPr>
        <w:t xml:space="preserve"> </w:t>
      </w:r>
      <w:r w:rsidRPr="00F14B54">
        <w:rPr>
          <w:smallCaps/>
          <w:sz w:val="18"/>
          <w:szCs w:val="18"/>
          <w:lang w:val="fr-FR"/>
        </w:rPr>
        <w:t>Lucas</w:t>
      </w:r>
      <w:r w:rsidRPr="00F14B54">
        <w:rPr>
          <w:i/>
          <w:sz w:val="18"/>
          <w:szCs w:val="18"/>
          <w:lang w:val="fr-FR"/>
        </w:rPr>
        <w:t xml:space="preserve"> </w:t>
      </w:r>
      <w:r w:rsidRPr="00425AA3">
        <w:rPr>
          <w:i/>
          <w:sz w:val="18"/>
          <w:szCs w:val="18"/>
          <w:lang w:val="fr-FR"/>
        </w:rPr>
        <w:t>in Manuel de droit de la faillite</w:t>
      </w:r>
      <w:r w:rsidRPr="00F14B54">
        <w:rPr>
          <w:sz w:val="18"/>
          <w:szCs w:val="18"/>
          <w:lang w:val="fr-FR"/>
        </w:rPr>
        <w:t xml:space="preserve">, </w:t>
      </w:r>
      <w:r w:rsidRPr="00425AA3">
        <w:rPr>
          <w:sz w:val="18"/>
          <w:szCs w:val="18"/>
          <w:lang w:val="fr-FR"/>
        </w:rPr>
        <w:t>Presses Universitaires de France (P.U.F),</w:t>
      </w:r>
      <w:r w:rsidRPr="00F14B54">
        <w:rPr>
          <w:sz w:val="18"/>
          <w:szCs w:val="18"/>
          <w:lang w:val="fr-FR"/>
        </w:rPr>
        <w:t xml:space="preserve"> Collection Droit fondamental, 1</w:t>
      </w:r>
      <w:r w:rsidRPr="00F14B54">
        <w:rPr>
          <w:sz w:val="18"/>
          <w:szCs w:val="18"/>
          <w:vertAlign w:val="superscript"/>
          <w:lang w:val="fr-FR"/>
        </w:rPr>
        <w:t>ère</w:t>
      </w:r>
      <w:r w:rsidRPr="00F14B54">
        <w:rPr>
          <w:sz w:val="18"/>
          <w:szCs w:val="18"/>
          <w:lang w:val="fr-FR"/>
        </w:rPr>
        <w:t xml:space="preserve"> édition, Novembre 2016.</w:t>
      </w:r>
    </w:p>
  </w:footnote>
  <w:footnote w:id="55">
    <w:p w14:paraId="33835036" w14:textId="57FDED20"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M-H</w:t>
      </w:r>
      <w:r>
        <w:rPr>
          <w:szCs w:val="18"/>
          <w:lang w:val="fr-FR"/>
        </w:rPr>
        <w:t>.</w:t>
      </w:r>
      <w:r w:rsidRPr="00F14B54">
        <w:rPr>
          <w:szCs w:val="18"/>
          <w:lang w:val="fr-FR"/>
        </w:rPr>
        <w:t xml:space="preserve"> </w:t>
      </w:r>
      <w:proofErr w:type="spellStart"/>
      <w:r w:rsidRPr="00F14B54">
        <w:rPr>
          <w:smallCaps/>
          <w:szCs w:val="18"/>
          <w:lang w:val="fr-FR"/>
        </w:rPr>
        <w:t>Monsèrié</w:t>
      </w:r>
      <w:proofErr w:type="spellEnd"/>
      <w:r w:rsidRPr="00F14B54">
        <w:rPr>
          <w:smallCaps/>
          <w:szCs w:val="18"/>
          <w:lang w:val="fr-FR"/>
        </w:rPr>
        <w:t>-Bon</w:t>
      </w:r>
      <w:r w:rsidRPr="00F14B54">
        <w:rPr>
          <w:szCs w:val="18"/>
          <w:lang w:val="fr-FR"/>
        </w:rPr>
        <w:t xml:space="preserve"> </w:t>
      </w:r>
      <w:r w:rsidRPr="00F14B54">
        <w:rPr>
          <w:i/>
          <w:szCs w:val="18"/>
          <w:lang w:val="fr-FR"/>
        </w:rPr>
        <w:t>in</w:t>
      </w:r>
      <w:r w:rsidRPr="00F14B54">
        <w:rPr>
          <w:szCs w:val="18"/>
          <w:lang w:val="fr-FR"/>
        </w:rPr>
        <w:t xml:space="preserve"> « Paiement du passif social par le dirigeant : passage obligé par la responsabilité pour insuffisance d’actif », </w:t>
      </w:r>
      <w:r w:rsidRPr="00F14B54">
        <w:rPr>
          <w:i/>
          <w:szCs w:val="18"/>
          <w:lang w:val="fr-FR"/>
        </w:rPr>
        <w:t>Bulletin Joly Sociétés</w:t>
      </w:r>
      <w:r>
        <w:rPr>
          <w:szCs w:val="18"/>
          <w:lang w:val="fr-FR"/>
        </w:rPr>
        <w:t>, 1</w:t>
      </w:r>
      <w:r w:rsidRPr="00A97FEE">
        <w:rPr>
          <w:szCs w:val="18"/>
          <w:vertAlign w:val="superscript"/>
          <w:lang w:val="fr-FR"/>
        </w:rPr>
        <w:t>er</w:t>
      </w:r>
      <w:r>
        <w:rPr>
          <w:szCs w:val="18"/>
          <w:lang w:val="fr-FR"/>
        </w:rPr>
        <w:t xml:space="preserve"> mai </w:t>
      </w:r>
      <w:r w:rsidRPr="00F14B54">
        <w:rPr>
          <w:szCs w:val="18"/>
          <w:lang w:val="fr-FR"/>
        </w:rPr>
        <w:t>2017, n°</w:t>
      </w:r>
      <w:r w:rsidR="00A2648B">
        <w:rPr>
          <w:szCs w:val="18"/>
          <w:lang w:val="fr-FR"/>
        </w:rPr>
        <w:t xml:space="preserve"> </w:t>
      </w:r>
      <w:r w:rsidRPr="00F14B54">
        <w:rPr>
          <w:szCs w:val="18"/>
          <w:lang w:val="fr-FR"/>
        </w:rPr>
        <w:t>5, p.</w:t>
      </w:r>
      <w:r w:rsidR="00A2648B">
        <w:rPr>
          <w:szCs w:val="18"/>
          <w:lang w:val="fr-FR"/>
        </w:rPr>
        <w:t xml:space="preserve"> </w:t>
      </w:r>
      <w:r w:rsidRPr="00F14B54">
        <w:rPr>
          <w:szCs w:val="18"/>
          <w:lang w:val="fr-FR"/>
        </w:rPr>
        <w:t>336.</w:t>
      </w:r>
    </w:p>
  </w:footnote>
  <w:footnote w:id="56">
    <w:p w14:paraId="4FA8E907" w14:textId="25E318D3"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En ce sens, voir C</w:t>
      </w:r>
      <w:r>
        <w:rPr>
          <w:szCs w:val="18"/>
          <w:lang w:val="fr-FR"/>
        </w:rPr>
        <w:t xml:space="preserve">. </w:t>
      </w:r>
      <w:proofErr w:type="spellStart"/>
      <w:r w:rsidRPr="00F14B54">
        <w:rPr>
          <w:smallCaps/>
          <w:szCs w:val="18"/>
          <w:lang w:val="fr-FR"/>
        </w:rPr>
        <w:t>Leguevaques</w:t>
      </w:r>
      <w:proofErr w:type="spellEnd"/>
      <w:r w:rsidRPr="00F14B54">
        <w:rPr>
          <w:szCs w:val="18"/>
          <w:lang w:val="fr-FR"/>
        </w:rPr>
        <w:t xml:space="preserve"> </w:t>
      </w:r>
      <w:r w:rsidRPr="00F14B54">
        <w:rPr>
          <w:i/>
          <w:szCs w:val="18"/>
          <w:lang w:val="fr-FR"/>
        </w:rPr>
        <w:t>in</w:t>
      </w:r>
      <w:r w:rsidRPr="00F14B54">
        <w:rPr>
          <w:szCs w:val="18"/>
          <w:lang w:val="fr-FR"/>
        </w:rPr>
        <w:t xml:space="preserve"> « Le sort des créanciers après la loi de sauvegarde des entreprises : entre renforcement des droits et allègements des devoirs ? », </w:t>
      </w:r>
      <w:r w:rsidRPr="00F14B54">
        <w:rPr>
          <w:i/>
          <w:szCs w:val="18"/>
          <w:lang w:val="fr-FR"/>
        </w:rPr>
        <w:t>Petites affiches</w:t>
      </w:r>
      <w:r>
        <w:rPr>
          <w:szCs w:val="18"/>
          <w:lang w:val="fr-FR"/>
        </w:rPr>
        <w:t xml:space="preserve">, 17 février </w:t>
      </w:r>
      <w:r w:rsidRPr="00F14B54">
        <w:rPr>
          <w:szCs w:val="18"/>
          <w:lang w:val="fr-FR"/>
        </w:rPr>
        <w:t>2006, n°</w:t>
      </w:r>
      <w:r w:rsidR="00A2648B">
        <w:rPr>
          <w:szCs w:val="18"/>
          <w:lang w:val="fr-FR"/>
        </w:rPr>
        <w:t xml:space="preserve"> </w:t>
      </w:r>
      <w:r w:rsidRPr="00F14B54">
        <w:rPr>
          <w:szCs w:val="18"/>
          <w:lang w:val="fr-FR"/>
        </w:rPr>
        <w:t>35, p. 63.</w:t>
      </w:r>
    </w:p>
  </w:footnote>
  <w:footnote w:id="57">
    <w:p w14:paraId="1E00A157" w14:textId="50590BAE"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notamment P-M</w:t>
      </w:r>
      <w:r>
        <w:rPr>
          <w:szCs w:val="18"/>
          <w:lang w:val="fr-FR"/>
        </w:rPr>
        <w:t>.</w:t>
      </w:r>
      <w:r w:rsidRPr="00F14B54">
        <w:rPr>
          <w:szCs w:val="18"/>
          <w:lang w:val="fr-FR"/>
        </w:rPr>
        <w:t xml:space="preserve"> </w:t>
      </w:r>
      <w:r w:rsidRPr="00F14B54">
        <w:rPr>
          <w:smallCaps/>
          <w:szCs w:val="18"/>
          <w:lang w:val="fr-FR"/>
        </w:rPr>
        <w:t>Le Corre</w:t>
      </w:r>
      <w:r w:rsidRPr="00F14B54">
        <w:rPr>
          <w:szCs w:val="18"/>
          <w:lang w:val="fr-FR"/>
        </w:rPr>
        <w:t xml:space="preserve"> </w:t>
      </w:r>
      <w:r w:rsidRPr="00F14B54">
        <w:rPr>
          <w:i/>
          <w:szCs w:val="18"/>
          <w:lang w:val="fr-FR"/>
        </w:rPr>
        <w:t>in</w:t>
      </w:r>
      <w:r w:rsidRPr="00F14B54">
        <w:rPr>
          <w:szCs w:val="18"/>
          <w:lang w:val="fr-FR"/>
        </w:rPr>
        <w:t xml:space="preserve"> « L’intérêt collectif est-il l’intérêt de tous les créanciers ? », </w:t>
      </w:r>
      <w:r w:rsidRPr="00F14B54">
        <w:rPr>
          <w:i/>
          <w:szCs w:val="18"/>
          <w:lang w:val="fr-FR"/>
        </w:rPr>
        <w:t>Bulletin Joly Entreprises en difficulté</w:t>
      </w:r>
      <w:r w:rsidRPr="00F14B54">
        <w:rPr>
          <w:szCs w:val="18"/>
          <w:lang w:val="fr-FR"/>
        </w:rPr>
        <w:t>, n°</w:t>
      </w:r>
      <w:r w:rsidR="00A2648B">
        <w:rPr>
          <w:szCs w:val="18"/>
          <w:lang w:val="fr-FR"/>
        </w:rPr>
        <w:t xml:space="preserve"> </w:t>
      </w:r>
      <w:r w:rsidRPr="00F14B54">
        <w:rPr>
          <w:szCs w:val="18"/>
          <w:lang w:val="fr-FR"/>
        </w:rPr>
        <w:t>3, p.</w:t>
      </w:r>
      <w:r w:rsidR="00A2648B">
        <w:rPr>
          <w:szCs w:val="18"/>
          <w:lang w:val="fr-FR"/>
        </w:rPr>
        <w:t xml:space="preserve"> </w:t>
      </w:r>
      <w:r w:rsidRPr="00F14B54">
        <w:rPr>
          <w:szCs w:val="18"/>
          <w:lang w:val="fr-FR"/>
        </w:rPr>
        <w:t>214.</w:t>
      </w:r>
    </w:p>
  </w:footnote>
  <w:footnote w:id="58">
    <w:p w14:paraId="193A3A62" w14:textId="03BBD660" w:rsidR="00704A68" w:rsidRPr="00F14B54" w:rsidRDefault="00704A68" w:rsidP="0069582B">
      <w:pPr>
        <w:tabs>
          <w:tab w:val="left" w:pos="3896"/>
        </w:tabs>
        <w:contextualSpacing/>
        <w:rPr>
          <w:sz w:val="18"/>
          <w:szCs w:val="18"/>
          <w:lang w:val="fr-FR"/>
        </w:rPr>
      </w:pPr>
      <w:r w:rsidRPr="00F14B54">
        <w:rPr>
          <w:rStyle w:val="Marquenotebasdepage"/>
          <w:sz w:val="18"/>
          <w:szCs w:val="18"/>
        </w:rPr>
        <w:footnoteRef/>
      </w:r>
      <w:r w:rsidRPr="00F14B54">
        <w:rPr>
          <w:sz w:val="18"/>
          <w:szCs w:val="18"/>
          <w:lang w:val="fr-FR"/>
        </w:rPr>
        <w:t xml:space="preserve"> Ce principe de l’arrêt des poursuites individuelles résulte des dispositions de l’article L.622-21 du Code de commerce, auxquels renvoient les articles L.631-14 pour le redressement judiciaire et L.641-3 pour la liquidation judiciaire. Seules les actions personnelles contre les </w:t>
      </w:r>
      <w:r>
        <w:rPr>
          <w:sz w:val="18"/>
          <w:szCs w:val="18"/>
          <w:lang w:val="fr-FR"/>
        </w:rPr>
        <w:t>tiers échappent à la règle de l’</w:t>
      </w:r>
      <w:r w:rsidRPr="00F14B54">
        <w:rPr>
          <w:sz w:val="18"/>
          <w:szCs w:val="18"/>
          <w:lang w:val="fr-FR"/>
        </w:rPr>
        <w:t>arrêt des poursuites.</w:t>
      </w:r>
    </w:p>
  </w:footnote>
  <w:footnote w:id="59">
    <w:p w14:paraId="69DE88C8" w14:textId="077EB0D4"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La règle de l’arrêt des poursuites individuelles trouve son corol</w:t>
      </w:r>
      <w:r>
        <w:rPr>
          <w:szCs w:val="18"/>
          <w:lang w:val="fr-FR"/>
        </w:rPr>
        <w:t>l</w:t>
      </w:r>
      <w:r w:rsidRPr="00F14B54">
        <w:rPr>
          <w:szCs w:val="18"/>
          <w:lang w:val="fr-FR"/>
        </w:rPr>
        <w:t xml:space="preserve">aire dans celle de l’interdiction des paiements énoncée à l’article L.622-7 du Code de commerce. </w:t>
      </w:r>
    </w:p>
  </w:footnote>
  <w:footnote w:id="60">
    <w:p w14:paraId="19324FED" w14:textId="08F36E06"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A. </w:t>
      </w:r>
      <w:r w:rsidRPr="00F14B54">
        <w:rPr>
          <w:smallCaps/>
          <w:szCs w:val="18"/>
          <w:lang w:val="fr-FR"/>
        </w:rPr>
        <w:t>Jacquemont</w:t>
      </w:r>
      <w:r w:rsidRPr="00F14B54">
        <w:rPr>
          <w:szCs w:val="18"/>
          <w:lang w:val="fr-FR"/>
        </w:rPr>
        <w:t xml:space="preserve"> </w:t>
      </w:r>
      <w:r w:rsidRPr="00F14B54">
        <w:rPr>
          <w:i/>
          <w:szCs w:val="18"/>
          <w:lang w:val="fr-FR"/>
        </w:rPr>
        <w:t>in</w:t>
      </w:r>
      <w:r w:rsidRPr="00F14B54">
        <w:rPr>
          <w:szCs w:val="18"/>
          <w:lang w:val="fr-FR"/>
        </w:rPr>
        <w:t xml:space="preserve"> </w:t>
      </w:r>
      <w:r w:rsidRPr="00904592">
        <w:rPr>
          <w:i/>
          <w:szCs w:val="18"/>
          <w:lang w:val="fr-FR"/>
        </w:rPr>
        <w:t>Droit des entreprises en difficulté</w:t>
      </w:r>
      <w:r w:rsidRPr="00F14B54">
        <w:rPr>
          <w:szCs w:val="18"/>
          <w:lang w:val="fr-FR"/>
        </w:rPr>
        <w:t>, 8</w:t>
      </w:r>
      <w:r w:rsidRPr="00F14B54">
        <w:rPr>
          <w:szCs w:val="18"/>
          <w:vertAlign w:val="superscript"/>
          <w:lang w:val="fr-FR"/>
        </w:rPr>
        <w:t>ème</w:t>
      </w:r>
      <w:r w:rsidRPr="00F14B54">
        <w:rPr>
          <w:szCs w:val="18"/>
          <w:lang w:val="fr-FR"/>
        </w:rPr>
        <w:t xml:space="preserve"> édition, </w:t>
      </w:r>
      <w:proofErr w:type="spellStart"/>
      <w:r w:rsidRPr="00904592">
        <w:rPr>
          <w:szCs w:val="18"/>
          <w:lang w:val="fr-FR"/>
        </w:rPr>
        <w:t>Litec</w:t>
      </w:r>
      <w:proofErr w:type="spellEnd"/>
      <w:r w:rsidRPr="00F14B54">
        <w:rPr>
          <w:szCs w:val="18"/>
          <w:lang w:val="fr-FR"/>
        </w:rPr>
        <w:t xml:space="preserve">, 2013. </w:t>
      </w:r>
    </w:p>
  </w:footnote>
  <w:footnote w:id="61">
    <w:p w14:paraId="3A3106D2" w14:textId="0321EB28" w:rsidR="00704A68" w:rsidRPr="00F14B54" w:rsidRDefault="00704A68" w:rsidP="0069582B">
      <w:pPr>
        <w:pStyle w:val="Notedebasdepage"/>
        <w:contextualSpacing/>
        <w:rPr>
          <w:szCs w:val="18"/>
          <w:lang w:val="fr-FR"/>
        </w:rPr>
      </w:pPr>
      <w:r w:rsidRPr="00F14B54">
        <w:rPr>
          <w:rStyle w:val="Marquenotebasdepage"/>
          <w:szCs w:val="18"/>
        </w:rPr>
        <w:footnoteRef/>
      </w:r>
      <w:r>
        <w:rPr>
          <w:szCs w:val="18"/>
          <w:lang w:val="fr-FR"/>
        </w:rPr>
        <w:t xml:space="preserve"> A</w:t>
      </w:r>
      <w:r w:rsidRPr="00F14B54">
        <w:rPr>
          <w:szCs w:val="18"/>
          <w:lang w:val="fr-FR"/>
        </w:rPr>
        <w:t xml:space="preserve"> ce sujet, voir A. </w:t>
      </w:r>
      <w:proofErr w:type="spellStart"/>
      <w:r w:rsidRPr="00F14B54">
        <w:rPr>
          <w:smallCaps/>
          <w:szCs w:val="18"/>
          <w:lang w:val="fr-FR"/>
        </w:rPr>
        <w:t>Diesbecq</w:t>
      </w:r>
      <w:proofErr w:type="spellEnd"/>
      <w:r w:rsidRPr="00F14B54">
        <w:rPr>
          <w:szCs w:val="18"/>
          <w:lang w:val="fr-FR"/>
        </w:rPr>
        <w:t xml:space="preserve"> </w:t>
      </w:r>
      <w:r w:rsidRPr="00F14B54">
        <w:rPr>
          <w:i/>
          <w:szCs w:val="18"/>
          <w:lang w:val="fr-FR"/>
        </w:rPr>
        <w:t>in</w:t>
      </w:r>
      <w:r w:rsidRPr="00F14B54">
        <w:rPr>
          <w:szCs w:val="18"/>
          <w:lang w:val="fr-FR"/>
        </w:rPr>
        <w:t xml:space="preserve"> « La force du contrat confrontée au droit des entreprises en difficulté », </w:t>
      </w:r>
      <w:r w:rsidRPr="00F14B54">
        <w:rPr>
          <w:i/>
          <w:szCs w:val="18"/>
          <w:lang w:val="fr-FR"/>
        </w:rPr>
        <w:t>Gazette du Palais</w:t>
      </w:r>
      <w:r>
        <w:rPr>
          <w:szCs w:val="18"/>
          <w:lang w:val="fr-FR"/>
        </w:rPr>
        <w:t xml:space="preserve">, 19 décembre </w:t>
      </w:r>
      <w:r w:rsidRPr="00F14B54">
        <w:rPr>
          <w:szCs w:val="18"/>
          <w:lang w:val="fr-FR"/>
        </w:rPr>
        <w:t>2015, n°</w:t>
      </w:r>
      <w:r w:rsidR="00A2648B">
        <w:rPr>
          <w:szCs w:val="18"/>
          <w:lang w:val="fr-FR"/>
        </w:rPr>
        <w:t xml:space="preserve"> </w:t>
      </w:r>
      <w:r w:rsidRPr="00F14B54">
        <w:rPr>
          <w:szCs w:val="18"/>
          <w:lang w:val="fr-FR"/>
        </w:rPr>
        <w:t>353, p.</w:t>
      </w:r>
      <w:r w:rsidR="00A2648B">
        <w:rPr>
          <w:szCs w:val="18"/>
          <w:lang w:val="fr-FR"/>
        </w:rPr>
        <w:t xml:space="preserve"> </w:t>
      </w:r>
      <w:r w:rsidRPr="00F14B54">
        <w:rPr>
          <w:szCs w:val="18"/>
          <w:lang w:val="fr-FR"/>
        </w:rPr>
        <w:t>8.</w:t>
      </w:r>
    </w:p>
  </w:footnote>
  <w:footnote w:id="62">
    <w:p w14:paraId="05DF8A52"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Conformément aux dispositions de l’article L.622-13 du Code de commerce. L’option sur la continuation des contrats en cours à la charge de l’administrateur judiciaire fait exception au principe de libre continuation. Cette option, qui aboutit à la continuation ou à la non continuation du contrat à la demande de l’organe de la procédure, constitue clairement une atteinte à la force obligatoire des contrats.</w:t>
      </w:r>
    </w:p>
  </w:footnote>
  <w:footnote w:id="63">
    <w:p w14:paraId="6BCA3212" w14:textId="25E35D24"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La cession judiciaire des contrats à l’occasion d’une offre de reprise d’une entreprise en liquidation judiciaire  est une atteinte au droit des contrats. L’article L.642-7 alinéa 1</w:t>
      </w:r>
      <w:r w:rsidRPr="00F14B54">
        <w:rPr>
          <w:szCs w:val="18"/>
          <w:vertAlign w:val="superscript"/>
          <w:lang w:val="fr-FR"/>
        </w:rPr>
        <w:t>er</w:t>
      </w:r>
      <w:r w:rsidRPr="00F14B54">
        <w:rPr>
          <w:szCs w:val="18"/>
          <w:lang w:val="fr-FR"/>
        </w:rPr>
        <w:t xml:space="preserve"> du Code de commerce prévoit qu’en arrêtant le plan de cession, </w:t>
      </w:r>
      <w:r w:rsidRPr="00F14B54">
        <w:rPr>
          <w:i/>
          <w:szCs w:val="18"/>
          <w:lang w:val="fr-FR"/>
        </w:rPr>
        <w:t>« le tribunal détermine les contrats de crédit-bail, de location ou de fourniture de biens ou de servic</w:t>
      </w:r>
      <w:r>
        <w:rPr>
          <w:i/>
          <w:szCs w:val="18"/>
          <w:lang w:val="fr-FR"/>
        </w:rPr>
        <w:t>es nécessaires au maintien de l’</w:t>
      </w:r>
      <w:r w:rsidRPr="00F14B54">
        <w:rPr>
          <w:i/>
          <w:szCs w:val="18"/>
          <w:lang w:val="fr-FR"/>
        </w:rPr>
        <w:t>activité »</w:t>
      </w:r>
      <w:r w:rsidRPr="00F14B54">
        <w:rPr>
          <w:szCs w:val="18"/>
          <w:lang w:val="fr-FR"/>
        </w:rPr>
        <w:t>. Ces contrats seront cédés judiciairement. Dans notre droit positif, c’est un cas unique de cession judiciaire de contrat ! Le cocontractant était lié par un contrat au débiteur. Par la décision du tribunal, sur la suggestion du repreneur contenue dans son offre de cession, le cocontractant se trouve lié au repreneur, au titre de ce même contrat.</w:t>
      </w:r>
    </w:p>
  </w:footnote>
  <w:footnote w:id="64">
    <w:p w14:paraId="46EFC4EA"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La période suspecte est celle qui s’étend de la date de cessation des paiements (fixée par le tribunal qui ouvre la procédure) à la date du jugement d’ouverture de la procédure. On qualifie ce laps de temps de période « suspecte » car, par hypothèse, le débiteur en état de cessation des paiements (son passif exigible est supérieur à son actif disponible (voir en ce sens l’article L.631-1 du Code de commerce)) a réussi pendant toute cette période à éviter l’ouverture d’une procédure collective. On soupçonne dès lors certaines personnes d’avoir aidé le débiteur à ne pas déposer le bilan ou alors, le débiteur lui même d’avoir organiser volontairement son insolvabilité, la pénurie de son gage commune à l’aube de l’ouverture d’une procédure. Dès lors, des nullités de droit (voir l’article L.632-1, I du Code de commerce) et des nullités facultatives (voir les articles L.632-1, II et L632-2 du Code de commerce) des actes passés en période suspecte qui ont pour principal effet d’annuler des conventions, des paiements, des sûretés, des mesures conservatoires, mis en place antérieurement au jugement d’ouverture.</w:t>
      </w:r>
    </w:p>
  </w:footnote>
  <w:footnote w:id="65">
    <w:p w14:paraId="77621FE5" w14:textId="474701F2" w:rsidR="00704A68" w:rsidRPr="00F14B54" w:rsidRDefault="00704A68" w:rsidP="0069582B">
      <w:pPr>
        <w:pStyle w:val="Sansinterligne"/>
        <w:contextualSpacing/>
        <w:rPr>
          <w:rFonts w:eastAsia="Times New Roman"/>
          <w:sz w:val="18"/>
          <w:szCs w:val="18"/>
          <w:lang w:val="fr-FR"/>
        </w:rPr>
      </w:pPr>
      <w:r w:rsidRPr="00F14B54">
        <w:rPr>
          <w:rStyle w:val="Marquenotebasdepage"/>
          <w:sz w:val="18"/>
          <w:szCs w:val="18"/>
        </w:rPr>
        <w:footnoteRef/>
      </w:r>
      <w:r w:rsidRPr="00F14B54">
        <w:rPr>
          <w:sz w:val="18"/>
          <w:szCs w:val="18"/>
          <w:lang w:val="fr-FR"/>
        </w:rPr>
        <w:t xml:space="preserve"> Une créance non déclarée dans le délai imparti et ne bénéficiant pas d’un relevé de forclusion, sera inopposable à la procédure collective et le créancier ne bénéficiera pas des distributions faites dans le cadre de celle-ci. Cette déclaration de créance est l’étape nécessaire pour le créancier qui souhaite être payé. A défaut, l’obligation du débiteur née d’un contrat antérieur au jugement d’ouverture est comme ignorée par le droit de entreprises en difficulté. En ce sens, voir l’article L.622-26 du Code de commerce ; Cass.com., 3 novembre 2010, n°</w:t>
      </w:r>
      <w:r w:rsidR="00A2648B">
        <w:rPr>
          <w:sz w:val="18"/>
          <w:szCs w:val="18"/>
          <w:lang w:val="fr-FR"/>
        </w:rPr>
        <w:t xml:space="preserve"> </w:t>
      </w:r>
      <w:r w:rsidRPr="00F14B54">
        <w:rPr>
          <w:sz w:val="18"/>
          <w:szCs w:val="18"/>
          <w:lang w:val="fr-FR"/>
        </w:rPr>
        <w:t xml:space="preserve">09-70312 et </w:t>
      </w:r>
      <w:r w:rsidRPr="00F14B54">
        <w:rPr>
          <w:rFonts w:eastAsia="Times New Roman"/>
          <w:bCs/>
          <w:sz w:val="18"/>
          <w:szCs w:val="18"/>
          <w:lang w:val="fr-FR"/>
        </w:rPr>
        <w:t xml:space="preserve">F-X. </w:t>
      </w:r>
      <w:r w:rsidRPr="00F14B54">
        <w:rPr>
          <w:rFonts w:eastAsia="Times New Roman"/>
          <w:bCs/>
          <w:smallCaps/>
          <w:sz w:val="18"/>
          <w:szCs w:val="18"/>
          <w:lang w:val="fr-FR"/>
        </w:rPr>
        <w:t>Lucas</w:t>
      </w:r>
      <w:r w:rsidRPr="00F14B54">
        <w:rPr>
          <w:rFonts w:eastAsia="Times New Roman"/>
          <w:bCs/>
          <w:sz w:val="18"/>
          <w:szCs w:val="18"/>
          <w:lang w:val="fr-FR"/>
        </w:rPr>
        <w:t xml:space="preserve"> </w:t>
      </w:r>
      <w:r w:rsidRPr="00F14B54">
        <w:rPr>
          <w:rFonts w:eastAsia="Times New Roman"/>
          <w:bCs/>
          <w:i/>
          <w:sz w:val="18"/>
          <w:szCs w:val="18"/>
          <w:lang w:val="fr-FR"/>
        </w:rPr>
        <w:t xml:space="preserve">in </w:t>
      </w:r>
      <w:r w:rsidRPr="00F14B54">
        <w:rPr>
          <w:rFonts w:eastAsia="Times New Roman"/>
          <w:bCs/>
          <w:sz w:val="18"/>
          <w:szCs w:val="18"/>
          <w:lang w:val="fr-FR"/>
        </w:rPr>
        <w:t>Note sous Cass.com., 3 mai 2011, n°</w:t>
      </w:r>
      <w:r w:rsidR="00A2648B">
        <w:rPr>
          <w:rFonts w:eastAsia="Times New Roman"/>
          <w:bCs/>
          <w:sz w:val="18"/>
          <w:szCs w:val="18"/>
          <w:lang w:val="fr-FR"/>
        </w:rPr>
        <w:t xml:space="preserve"> </w:t>
      </w:r>
      <w:r w:rsidRPr="00F14B54">
        <w:rPr>
          <w:rFonts w:eastAsia="Times New Roman"/>
          <w:bCs/>
          <w:sz w:val="18"/>
          <w:szCs w:val="18"/>
          <w:lang w:val="fr-FR"/>
        </w:rPr>
        <w:t>10-16758, « </w:t>
      </w:r>
      <w:r w:rsidRPr="00F14B54">
        <w:rPr>
          <w:rFonts w:eastAsia="Times New Roman"/>
          <w:bCs/>
          <w:kern w:val="36"/>
          <w:sz w:val="18"/>
          <w:szCs w:val="18"/>
          <w:lang w:val="fr-FR"/>
        </w:rPr>
        <w:t xml:space="preserve">Impossibilité de compenser une créance non déclarée », </w:t>
      </w:r>
      <w:r>
        <w:rPr>
          <w:rFonts w:eastAsia="Times New Roman"/>
          <w:i/>
          <w:sz w:val="18"/>
          <w:szCs w:val="18"/>
          <w:lang w:val="fr-FR"/>
        </w:rPr>
        <w:t>L’</w:t>
      </w:r>
      <w:r w:rsidRPr="00F14B54">
        <w:rPr>
          <w:rFonts w:eastAsia="Times New Roman"/>
          <w:i/>
          <w:sz w:val="18"/>
          <w:szCs w:val="18"/>
          <w:lang w:val="fr-FR"/>
        </w:rPr>
        <w:t>Essentiel Droit des entreprises en difficulté</w:t>
      </w:r>
      <w:r w:rsidRPr="00F14B54">
        <w:rPr>
          <w:rFonts w:eastAsia="Times New Roman"/>
          <w:sz w:val="18"/>
          <w:szCs w:val="18"/>
          <w:lang w:val="fr-FR"/>
        </w:rPr>
        <w:t>, 5 juin 2011, n°</w:t>
      </w:r>
      <w:r w:rsidR="00A2648B">
        <w:rPr>
          <w:rFonts w:eastAsia="Times New Roman"/>
          <w:sz w:val="18"/>
          <w:szCs w:val="18"/>
          <w:lang w:val="fr-FR"/>
        </w:rPr>
        <w:t xml:space="preserve"> </w:t>
      </w:r>
      <w:r w:rsidRPr="00F14B54">
        <w:rPr>
          <w:rFonts w:eastAsia="Times New Roman"/>
          <w:sz w:val="18"/>
          <w:szCs w:val="18"/>
          <w:lang w:val="fr-FR"/>
        </w:rPr>
        <w:t>6, p.</w:t>
      </w:r>
      <w:r w:rsidR="00A2648B">
        <w:rPr>
          <w:rFonts w:eastAsia="Times New Roman"/>
          <w:sz w:val="18"/>
          <w:szCs w:val="18"/>
          <w:lang w:val="fr-FR"/>
        </w:rPr>
        <w:t xml:space="preserve"> </w:t>
      </w:r>
      <w:r w:rsidRPr="00F14B54">
        <w:rPr>
          <w:rFonts w:eastAsia="Times New Roman"/>
          <w:sz w:val="18"/>
          <w:szCs w:val="18"/>
          <w:lang w:val="fr-FR"/>
        </w:rPr>
        <w:t>1.</w:t>
      </w:r>
    </w:p>
  </w:footnote>
  <w:footnote w:id="66">
    <w:p w14:paraId="0A6E7AB2"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Comme en dispose l’article L.643-11 du Code de commerce. </w:t>
      </w:r>
    </w:p>
  </w:footnote>
  <w:footnote w:id="67">
    <w:p w14:paraId="4B65C4B9" w14:textId="0A228566"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Comme l’affirmait le doyen G. </w:t>
      </w:r>
      <w:r w:rsidRPr="00F14B54">
        <w:rPr>
          <w:smallCaps/>
          <w:sz w:val="18"/>
          <w:szCs w:val="18"/>
          <w:lang w:val="fr-FR"/>
        </w:rPr>
        <w:t xml:space="preserve">Ripert </w:t>
      </w:r>
      <w:r w:rsidRPr="00F14B54">
        <w:rPr>
          <w:i/>
          <w:sz w:val="18"/>
          <w:szCs w:val="18"/>
          <w:lang w:val="fr-FR"/>
        </w:rPr>
        <w:t>in</w:t>
      </w:r>
      <w:r w:rsidRPr="00F14B54">
        <w:rPr>
          <w:sz w:val="18"/>
          <w:szCs w:val="18"/>
          <w:lang w:val="fr-FR"/>
        </w:rPr>
        <w:t xml:space="preserve"> « Le droit de ne pas payer ses dettes », </w:t>
      </w:r>
      <w:r w:rsidRPr="00F14B54">
        <w:rPr>
          <w:i/>
          <w:sz w:val="18"/>
          <w:szCs w:val="18"/>
          <w:lang w:val="fr-FR"/>
        </w:rPr>
        <w:t>DH</w:t>
      </w:r>
      <w:r w:rsidRPr="00F14B54">
        <w:rPr>
          <w:sz w:val="18"/>
          <w:szCs w:val="18"/>
          <w:lang w:val="fr-FR"/>
        </w:rPr>
        <w:t>,</w:t>
      </w:r>
      <w:r w:rsidRPr="00F14B54">
        <w:rPr>
          <w:i/>
          <w:sz w:val="18"/>
          <w:szCs w:val="18"/>
          <w:lang w:val="fr-FR"/>
        </w:rPr>
        <w:t xml:space="preserve"> </w:t>
      </w:r>
      <w:r w:rsidRPr="00F14B54">
        <w:rPr>
          <w:sz w:val="18"/>
          <w:szCs w:val="18"/>
          <w:lang w:val="fr-FR"/>
        </w:rPr>
        <w:t>1936</w:t>
      </w:r>
      <w:r w:rsidRPr="00F14B54">
        <w:rPr>
          <w:i/>
          <w:sz w:val="18"/>
          <w:szCs w:val="18"/>
          <w:lang w:val="fr-FR"/>
        </w:rPr>
        <w:t xml:space="preserve">, </w:t>
      </w:r>
      <w:r w:rsidRPr="00F14B54">
        <w:rPr>
          <w:sz w:val="18"/>
          <w:szCs w:val="18"/>
          <w:lang w:val="fr-FR"/>
        </w:rPr>
        <w:t xml:space="preserve">Chronique 57. Les créanciers impayés, soumis à l’interdiction des poursuites individuelles, ne pourront reprendre leurs poursuites individuelles contre le débiteur après la clôture pour insuffisance d’actif. Cette règle est destinée à faciliter le rebond du débiteur. Même si l’interdiction des poursuites contre le débiteur redevenu </w:t>
      </w:r>
      <w:r w:rsidRPr="00F14B54">
        <w:rPr>
          <w:i/>
          <w:sz w:val="18"/>
          <w:szCs w:val="18"/>
          <w:lang w:val="fr-FR"/>
        </w:rPr>
        <w:t>in bonis</w:t>
      </w:r>
      <w:r w:rsidRPr="00F14B54">
        <w:rPr>
          <w:sz w:val="18"/>
          <w:szCs w:val="18"/>
          <w:lang w:val="fr-FR"/>
        </w:rPr>
        <w:t xml:space="preserve"> n’équivaut pas à une extinction de la créance, cette règle de l’article L.</w:t>
      </w:r>
      <w:r w:rsidR="00A2648B">
        <w:rPr>
          <w:sz w:val="18"/>
          <w:szCs w:val="18"/>
          <w:lang w:val="fr-FR"/>
        </w:rPr>
        <w:t xml:space="preserve"> </w:t>
      </w:r>
      <w:r w:rsidRPr="00F14B54">
        <w:rPr>
          <w:sz w:val="18"/>
          <w:szCs w:val="18"/>
          <w:lang w:val="fr-FR"/>
        </w:rPr>
        <w:t xml:space="preserve">643-11 du Code de commerce porte largement atteinte à la force obligatoire des contrats. </w:t>
      </w:r>
    </w:p>
  </w:footnote>
  <w:footnote w:id="68">
    <w:p w14:paraId="1A38C0AE" w14:textId="1C5EE549"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Voir à ce sujet, C. </w:t>
      </w:r>
      <w:r w:rsidRPr="00F14B54">
        <w:rPr>
          <w:smallCaps/>
          <w:szCs w:val="18"/>
          <w:lang w:val="fr-FR"/>
        </w:rPr>
        <w:t>Saint-</w:t>
      </w:r>
      <w:proofErr w:type="spellStart"/>
      <w:r w:rsidRPr="00F14B54">
        <w:rPr>
          <w:smallCaps/>
          <w:szCs w:val="18"/>
          <w:lang w:val="fr-FR"/>
        </w:rPr>
        <w:t>Alary</w:t>
      </w:r>
      <w:proofErr w:type="spellEnd"/>
      <w:r w:rsidRPr="00F14B54">
        <w:rPr>
          <w:smallCaps/>
          <w:szCs w:val="18"/>
          <w:lang w:val="fr-FR"/>
        </w:rPr>
        <w:t>-</w:t>
      </w:r>
      <w:proofErr w:type="spellStart"/>
      <w:r w:rsidRPr="00F14B54">
        <w:rPr>
          <w:smallCaps/>
          <w:szCs w:val="18"/>
          <w:lang w:val="fr-FR"/>
        </w:rPr>
        <w:t>Houin</w:t>
      </w:r>
      <w:proofErr w:type="spellEnd"/>
      <w:r w:rsidRPr="00F14B54">
        <w:rPr>
          <w:szCs w:val="18"/>
          <w:lang w:val="fr-FR"/>
        </w:rPr>
        <w:t xml:space="preserve"> </w:t>
      </w:r>
      <w:r w:rsidRPr="00D06AC1">
        <w:rPr>
          <w:i/>
          <w:szCs w:val="18"/>
          <w:lang w:val="fr-FR"/>
        </w:rPr>
        <w:t>in Le droit des entreprises en difficulté</w:t>
      </w:r>
      <w:r w:rsidRPr="00F14B54">
        <w:rPr>
          <w:szCs w:val="18"/>
          <w:lang w:val="fr-FR"/>
        </w:rPr>
        <w:t xml:space="preserve">, </w:t>
      </w:r>
      <w:r w:rsidRPr="00D06AC1">
        <w:rPr>
          <w:szCs w:val="18"/>
          <w:lang w:val="fr-FR"/>
        </w:rPr>
        <w:t>Montchrestien, Précis Domat</w:t>
      </w:r>
      <w:r w:rsidRPr="00F14B54">
        <w:rPr>
          <w:szCs w:val="18"/>
          <w:lang w:val="fr-FR"/>
        </w:rPr>
        <w:t>, 9</w:t>
      </w:r>
      <w:r w:rsidRPr="00F14B54">
        <w:rPr>
          <w:szCs w:val="18"/>
          <w:vertAlign w:val="superscript"/>
          <w:lang w:val="fr-FR"/>
        </w:rPr>
        <w:t>ème</w:t>
      </w:r>
      <w:r w:rsidRPr="00F14B54">
        <w:rPr>
          <w:szCs w:val="18"/>
          <w:lang w:val="fr-FR"/>
        </w:rPr>
        <w:t xml:space="preserve"> édition, 2014.</w:t>
      </w:r>
    </w:p>
  </w:footnote>
  <w:footnote w:id="69">
    <w:p w14:paraId="0E449407" w14:textId="77777777"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Déjà, antérieurement à l’ouverture de la procédure, un accord de conciliation (homologué ou non) a pu prévoir des délais de paiements, remises de dettes ou abandons de sûretés. L’inexécution de l’accord menant le plus souvent à l’ouverture ultérieure d’une procédure collective. En présence d’un comité de créanciers, les minoritaires sont soumis à la décision de la majorité. En l’absence de comité de créanciers, le tribunal de commerce peut imposer aux créanciers réfractaires des délais uniformes de paiements qui ne peuvent excéder la durée d’exécution du plan. </w:t>
      </w:r>
    </w:p>
  </w:footnote>
  <w:footnote w:id="70">
    <w:p w14:paraId="77EF8896" w14:textId="6964546C"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en ce sens, M. </w:t>
      </w:r>
      <w:proofErr w:type="spellStart"/>
      <w:r w:rsidRPr="00F14B54">
        <w:rPr>
          <w:smallCaps/>
          <w:sz w:val="18"/>
          <w:szCs w:val="18"/>
          <w:lang w:val="fr-FR"/>
        </w:rPr>
        <w:t>Cabrillac</w:t>
      </w:r>
      <w:proofErr w:type="spellEnd"/>
      <w:r w:rsidRPr="00F14B54">
        <w:rPr>
          <w:sz w:val="18"/>
          <w:szCs w:val="18"/>
          <w:lang w:val="fr-FR"/>
        </w:rPr>
        <w:t xml:space="preserve">, C. </w:t>
      </w:r>
      <w:proofErr w:type="spellStart"/>
      <w:r w:rsidRPr="00F14B54">
        <w:rPr>
          <w:smallCaps/>
          <w:sz w:val="18"/>
          <w:szCs w:val="18"/>
          <w:lang w:val="fr-FR"/>
        </w:rPr>
        <w:t>Mouly</w:t>
      </w:r>
      <w:proofErr w:type="spellEnd"/>
      <w:r>
        <w:rPr>
          <w:sz w:val="18"/>
          <w:szCs w:val="18"/>
          <w:lang w:val="fr-FR"/>
        </w:rPr>
        <w:t xml:space="preserve">, S. </w:t>
      </w:r>
      <w:proofErr w:type="spellStart"/>
      <w:r w:rsidRPr="00F14B54">
        <w:rPr>
          <w:smallCaps/>
          <w:sz w:val="18"/>
          <w:szCs w:val="18"/>
          <w:lang w:val="fr-FR"/>
        </w:rPr>
        <w:t>Cabrillac</w:t>
      </w:r>
      <w:proofErr w:type="spellEnd"/>
      <w:r w:rsidRPr="00F14B54">
        <w:rPr>
          <w:sz w:val="18"/>
          <w:szCs w:val="18"/>
          <w:lang w:val="fr-FR"/>
        </w:rPr>
        <w:t xml:space="preserve">, et P. </w:t>
      </w:r>
      <w:proofErr w:type="spellStart"/>
      <w:r w:rsidRPr="00F14B54">
        <w:rPr>
          <w:smallCaps/>
          <w:sz w:val="18"/>
          <w:szCs w:val="18"/>
          <w:lang w:val="fr-FR"/>
        </w:rPr>
        <w:t>Petel</w:t>
      </w:r>
      <w:proofErr w:type="spellEnd"/>
      <w:r w:rsidRPr="00F14B54">
        <w:rPr>
          <w:sz w:val="18"/>
          <w:szCs w:val="18"/>
          <w:lang w:val="fr-FR"/>
        </w:rPr>
        <w:t xml:space="preserve"> </w:t>
      </w:r>
      <w:r w:rsidRPr="00704A68">
        <w:rPr>
          <w:i/>
          <w:sz w:val="18"/>
          <w:szCs w:val="18"/>
          <w:lang w:val="fr-FR"/>
        </w:rPr>
        <w:t>in Droit des sûretés</w:t>
      </w:r>
      <w:r w:rsidRPr="00F14B54">
        <w:rPr>
          <w:sz w:val="18"/>
          <w:szCs w:val="18"/>
          <w:lang w:val="fr-FR"/>
        </w:rPr>
        <w:t xml:space="preserve">, </w:t>
      </w:r>
      <w:proofErr w:type="spellStart"/>
      <w:r w:rsidRPr="00704A68">
        <w:rPr>
          <w:sz w:val="18"/>
          <w:szCs w:val="18"/>
          <w:lang w:val="fr-FR"/>
        </w:rPr>
        <w:t>Litec</w:t>
      </w:r>
      <w:proofErr w:type="spellEnd"/>
      <w:r w:rsidRPr="00704A68">
        <w:rPr>
          <w:sz w:val="18"/>
          <w:szCs w:val="18"/>
          <w:lang w:val="fr-FR"/>
        </w:rPr>
        <w:t>,</w:t>
      </w:r>
      <w:r w:rsidRPr="00F14B54">
        <w:rPr>
          <w:sz w:val="18"/>
          <w:szCs w:val="18"/>
          <w:lang w:val="fr-FR"/>
        </w:rPr>
        <w:t xml:space="preserve"> 9</w:t>
      </w:r>
      <w:r w:rsidRPr="00F14B54">
        <w:rPr>
          <w:sz w:val="18"/>
          <w:szCs w:val="18"/>
          <w:vertAlign w:val="superscript"/>
          <w:lang w:val="fr-FR"/>
        </w:rPr>
        <w:t>ème</w:t>
      </w:r>
      <w:r w:rsidRPr="00F14B54">
        <w:rPr>
          <w:sz w:val="18"/>
          <w:szCs w:val="18"/>
          <w:lang w:val="fr-FR"/>
        </w:rPr>
        <w:t xml:space="preserve"> édition ainsi que </w:t>
      </w:r>
      <w:r>
        <w:rPr>
          <w:bCs/>
          <w:sz w:val="18"/>
          <w:szCs w:val="18"/>
          <w:lang w:val="fr-FR"/>
        </w:rPr>
        <w:t>M.</w:t>
      </w:r>
      <w:r w:rsidRPr="00F14B54">
        <w:rPr>
          <w:bCs/>
          <w:sz w:val="18"/>
          <w:szCs w:val="18"/>
          <w:lang w:val="fr-FR"/>
        </w:rPr>
        <w:t xml:space="preserve"> </w:t>
      </w:r>
      <w:r w:rsidRPr="00F14B54">
        <w:rPr>
          <w:bCs/>
          <w:smallCaps/>
          <w:sz w:val="18"/>
          <w:szCs w:val="18"/>
          <w:lang w:val="fr-FR"/>
        </w:rPr>
        <w:t>Farge</w:t>
      </w:r>
      <w:r w:rsidRPr="00F14B54">
        <w:rPr>
          <w:bCs/>
          <w:sz w:val="18"/>
          <w:szCs w:val="18"/>
          <w:lang w:val="fr-FR"/>
        </w:rPr>
        <w:t xml:space="preserve"> et O. </w:t>
      </w:r>
      <w:r w:rsidRPr="00F14B54">
        <w:rPr>
          <w:bCs/>
          <w:smallCaps/>
          <w:sz w:val="18"/>
          <w:szCs w:val="18"/>
          <w:lang w:val="fr-FR"/>
        </w:rPr>
        <w:t>Gout</w:t>
      </w:r>
      <w:r w:rsidRPr="00F14B54">
        <w:rPr>
          <w:sz w:val="18"/>
          <w:szCs w:val="18"/>
          <w:lang w:val="fr-FR"/>
        </w:rPr>
        <w:t xml:space="preserve"> </w:t>
      </w:r>
      <w:r w:rsidRPr="00F14B54">
        <w:rPr>
          <w:i/>
          <w:sz w:val="18"/>
          <w:szCs w:val="18"/>
          <w:lang w:val="fr-FR"/>
        </w:rPr>
        <w:t>in</w:t>
      </w:r>
      <w:r w:rsidRPr="00F14B54">
        <w:rPr>
          <w:sz w:val="18"/>
          <w:szCs w:val="18"/>
          <w:lang w:val="fr-FR"/>
        </w:rPr>
        <w:t xml:space="preserve"> </w:t>
      </w:r>
      <w:r w:rsidRPr="00F14B54">
        <w:rPr>
          <w:bCs/>
          <w:sz w:val="18"/>
          <w:szCs w:val="18"/>
          <w:lang w:val="fr-FR"/>
        </w:rPr>
        <w:t xml:space="preserve">« L’impact du nouveau droit des entreprises en difficulté sur le droit des sûretés », </w:t>
      </w:r>
      <w:r w:rsidRPr="00F14B54">
        <w:rPr>
          <w:bCs/>
          <w:i/>
          <w:sz w:val="18"/>
          <w:szCs w:val="18"/>
          <w:lang w:val="fr-FR"/>
        </w:rPr>
        <w:t>Revue Lamy Droit Civil</w:t>
      </w:r>
      <w:r w:rsidRPr="00F14B54">
        <w:rPr>
          <w:bCs/>
          <w:sz w:val="18"/>
          <w:szCs w:val="18"/>
          <w:lang w:val="fr-FR"/>
        </w:rPr>
        <w:t>, 2009, n</w:t>
      </w:r>
      <w:r w:rsidR="00A2648B">
        <w:rPr>
          <w:bCs/>
          <w:sz w:val="18"/>
          <w:szCs w:val="18"/>
          <w:lang w:val="fr-FR"/>
        </w:rPr>
        <w:t xml:space="preserve">° </w:t>
      </w:r>
      <w:r w:rsidRPr="00F14B54">
        <w:rPr>
          <w:bCs/>
          <w:sz w:val="18"/>
          <w:szCs w:val="18"/>
          <w:lang w:val="fr-FR"/>
        </w:rPr>
        <w:t>58.</w:t>
      </w:r>
      <w:r w:rsidRPr="00F14B54">
        <w:rPr>
          <w:sz w:val="18"/>
          <w:szCs w:val="18"/>
          <w:lang w:val="fr-FR"/>
        </w:rPr>
        <w:t xml:space="preserve"> </w:t>
      </w:r>
    </w:p>
  </w:footnote>
  <w:footnote w:id="71">
    <w:p w14:paraId="3B57DD9A" w14:textId="2805A8CE" w:rsidR="00704A68" w:rsidRPr="00F14B54" w:rsidRDefault="00704A68" w:rsidP="0069582B">
      <w:pPr>
        <w:pStyle w:val="Notedebasdepage"/>
        <w:contextualSpacing/>
        <w:rPr>
          <w:szCs w:val="18"/>
          <w:lang w:val="fr-FR"/>
        </w:rPr>
      </w:pPr>
      <w:r w:rsidRPr="00F14B54">
        <w:rPr>
          <w:rStyle w:val="Marquenotebasdepage"/>
          <w:szCs w:val="18"/>
        </w:rPr>
        <w:footnoteRef/>
      </w:r>
      <w:r w:rsidR="001111EE">
        <w:rPr>
          <w:szCs w:val="18"/>
          <w:lang w:val="fr-FR"/>
        </w:rPr>
        <w:t xml:space="preserve"> </w:t>
      </w:r>
      <w:r w:rsidRPr="00F14B54">
        <w:rPr>
          <w:szCs w:val="18"/>
          <w:lang w:val="fr-FR"/>
        </w:rPr>
        <w:t xml:space="preserve">Voir D. </w:t>
      </w:r>
      <w:proofErr w:type="spellStart"/>
      <w:r w:rsidRPr="00F14B54">
        <w:rPr>
          <w:smallCaps/>
          <w:szCs w:val="18"/>
          <w:lang w:val="fr-FR"/>
        </w:rPr>
        <w:t>Legeais</w:t>
      </w:r>
      <w:proofErr w:type="spellEnd"/>
      <w:r w:rsidRPr="00F14B54">
        <w:rPr>
          <w:szCs w:val="18"/>
          <w:lang w:val="fr-FR"/>
        </w:rPr>
        <w:t xml:space="preserve"> </w:t>
      </w:r>
      <w:r w:rsidRPr="00F14B54">
        <w:rPr>
          <w:i/>
          <w:szCs w:val="18"/>
          <w:lang w:val="fr-FR"/>
        </w:rPr>
        <w:t>in</w:t>
      </w:r>
      <w:r w:rsidRPr="00F14B54">
        <w:rPr>
          <w:szCs w:val="18"/>
          <w:lang w:val="fr-FR"/>
        </w:rPr>
        <w:t xml:space="preserve"> « L’appréhension du droit des sûretés par l’ordonnance du 18 décembre 2008 », </w:t>
      </w:r>
      <w:r w:rsidRPr="00F14B54">
        <w:rPr>
          <w:i/>
          <w:szCs w:val="18"/>
          <w:lang w:val="fr-FR"/>
        </w:rPr>
        <w:t>Petites affiches</w:t>
      </w:r>
      <w:r w:rsidRPr="00F14B54">
        <w:rPr>
          <w:szCs w:val="18"/>
          <w:lang w:val="fr-FR"/>
        </w:rPr>
        <w:t>, 11 février 2011, n°</w:t>
      </w:r>
      <w:r w:rsidR="00A2648B">
        <w:rPr>
          <w:szCs w:val="18"/>
          <w:lang w:val="fr-FR"/>
        </w:rPr>
        <w:t xml:space="preserve"> </w:t>
      </w:r>
      <w:r w:rsidRPr="00F14B54">
        <w:rPr>
          <w:szCs w:val="18"/>
          <w:lang w:val="fr-FR"/>
        </w:rPr>
        <w:t xml:space="preserve">30, p.27 et </w:t>
      </w:r>
      <w:r w:rsidRPr="00F14B54">
        <w:rPr>
          <w:i/>
          <w:szCs w:val="18"/>
          <w:lang w:val="fr-FR"/>
        </w:rPr>
        <w:t>in</w:t>
      </w:r>
      <w:r w:rsidRPr="00F14B54">
        <w:rPr>
          <w:szCs w:val="18"/>
          <w:lang w:val="fr-FR"/>
        </w:rPr>
        <w:t xml:space="preserve"> « Le droit des sûretés à la recherche de repères ? », </w:t>
      </w:r>
      <w:r w:rsidRPr="00F14B54">
        <w:rPr>
          <w:i/>
          <w:szCs w:val="18"/>
          <w:lang w:val="fr-FR"/>
        </w:rPr>
        <w:t>Revue de Droit bancaire et financier</w:t>
      </w:r>
      <w:r w:rsidRPr="00F14B54">
        <w:rPr>
          <w:szCs w:val="18"/>
          <w:lang w:val="fr-FR"/>
        </w:rPr>
        <w:t xml:space="preserve">, Mars 2012, n°2, repère 2. Egalement, voir </w:t>
      </w:r>
      <w:r w:rsidRPr="00F14B54">
        <w:rPr>
          <w:rFonts w:eastAsia="Times New Roman"/>
          <w:bCs/>
          <w:kern w:val="36"/>
          <w:szCs w:val="18"/>
          <w:lang w:val="fr-FR"/>
        </w:rPr>
        <w:t xml:space="preserve">P. </w:t>
      </w:r>
      <w:proofErr w:type="spellStart"/>
      <w:r w:rsidRPr="00F14B54">
        <w:rPr>
          <w:rFonts w:eastAsia="Times New Roman"/>
          <w:bCs/>
          <w:smallCaps/>
          <w:kern w:val="36"/>
          <w:szCs w:val="18"/>
          <w:lang w:val="fr-FR"/>
        </w:rPr>
        <w:t>Crocq</w:t>
      </w:r>
      <w:proofErr w:type="spellEnd"/>
      <w:r w:rsidRPr="00F14B54">
        <w:rPr>
          <w:rFonts w:eastAsia="Times New Roman"/>
          <w:bCs/>
          <w:kern w:val="36"/>
          <w:szCs w:val="18"/>
          <w:lang w:val="fr-FR"/>
        </w:rPr>
        <w:t xml:space="preserve"> </w:t>
      </w:r>
      <w:r w:rsidRPr="00F14B54">
        <w:rPr>
          <w:rFonts w:eastAsia="Times New Roman"/>
          <w:bCs/>
          <w:i/>
          <w:kern w:val="36"/>
          <w:szCs w:val="18"/>
          <w:lang w:val="fr-FR"/>
        </w:rPr>
        <w:t xml:space="preserve">in </w:t>
      </w:r>
      <w:r w:rsidRPr="00F14B54">
        <w:rPr>
          <w:szCs w:val="18"/>
          <w:lang w:val="fr-FR"/>
        </w:rPr>
        <w:t>« </w:t>
      </w:r>
      <w:r w:rsidRPr="00F14B54">
        <w:rPr>
          <w:bCs/>
          <w:szCs w:val="18"/>
          <w:lang w:val="fr-FR"/>
        </w:rPr>
        <w:t xml:space="preserve">Les incidences de la réforme du droit des procédures collectives sur le droit des sûretés », </w:t>
      </w:r>
      <w:r w:rsidRPr="00F14B54">
        <w:rPr>
          <w:bCs/>
          <w:i/>
          <w:szCs w:val="18"/>
          <w:lang w:val="fr-FR"/>
        </w:rPr>
        <w:t>Revue Lamy Droit Civil</w:t>
      </w:r>
      <w:r w:rsidRPr="00F14B54">
        <w:rPr>
          <w:bCs/>
          <w:szCs w:val="18"/>
          <w:lang w:val="fr-FR"/>
        </w:rPr>
        <w:t>, 2014, n°</w:t>
      </w:r>
      <w:r w:rsidR="00A2648B">
        <w:rPr>
          <w:bCs/>
          <w:szCs w:val="18"/>
          <w:lang w:val="fr-FR"/>
        </w:rPr>
        <w:t xml:space="preserve"> </w:t>
      </w:r>
      <w:r w:rsidRPr="00F14B54">
        <w:rPr>
          <w:bCs/>
          <w:szCs w:val="18"/>
          <w:lang w:val="fr-FR"/>
        </w:rPr>
        <w:t>121.</w:t>
      </w:r>
    </w:p>
  </w:footnote>
  <w:footnote w:id="72">
    <w:p w14:paraId="34DD2135" w14:textId="77777777" w:rsidR="00704A68" w:rsidRPr="00F14B54" w:rsidRDefault="00704A68" w:rsidP="0069582B">
      <w:pPr>
        <w:pStyle w:val="Notedebasdepage"/>
        <w:contextualSpacing/>
        <w:rPr>
          <w:i/>
          <w:szCs w:val="18"/>
          <w:lang w:val="fr-FR"/>
        </w:rPr>
      </w:pPr>
      <w:r w:rsidRPr="00F14B54">
        <w:rPr>
          <w:rStyle w:val="Marquenotebasdepage"/>
          <w:szCs w:val="18"/>
        </w:rPr>
        <w:footnoteRef/>
      </w:r>
      <w:r w:rsidRPr="00F14B54">
        <w:rPr>
          <w:szCs w:val="18"/>
          <w:lang w:val="fr-FR"/>
        </w:rPr>
        <w:t xml:space="preserve"> </w:t>
      </w:r>
      <w:r w:rsidRPr="00F14B54">
        <w:rPr>
          <w:i/>
          <w:szCs w:val="18"/>
          <w:lang w:val="fr-FR"/>
        </w:rPr>
        <w:t xml:space="preserve">Cf. Supra. </w:t>
      </w:r>
    </w:p>
  </w:footnote>
  <w:footnote w:id="73">
    <w:p w14:paraId="224FB3F0" w14:textId="4907A02E" w:rsidR="00704A68" w:rsidRPr="00F14B54" w:rsidRDefault="00704A68" w:rsidP="0069582B">
      <w:pPr>
        <w:pStyle w:val="Notedebasdepage"/>
        <w:contextualSpacing/>
        <w:rPr>
          <w:szCs w:val="18"/>
          <w:lang w:val="fr-FR"/>
        </w:rPr>
      </w:pPr>
      <w:r w:rsidRPr="00F14B54">
        <w:rPr>
          <w:rStyle w:val="Marquenotebasdepage"/>
          <w:szCs w:val="18"/>
        </w:rPr>
        <w:footnoteRef/>
      </w:r>
      <w:r w:rsidR="0086152D">
        <w:rPr>
          <w:szCs w:val="18"/>
          <w:lang w:val="fr-FR"/>
        </w:rPr>
        <w:t xml:space="preserve"> Tel</w:t>
      </w:r>
      <w:r w:rsidRPr="00F14B54">
        <w:rPr>
          <w:szCs w:val="18"/>
          <w:lang w:val="fr-FR"/>
        </w:rPr>
        <w:t>s que le gage de biens meubles corporels, le nantissement de biens meubles incorporels ou l’hypothèque immobilière.</w:t>
      </w:r>
      <w:r w:rsidRPr="00F14B54">
        <w:rPr>
          <w:rFonts w:eastAsia="Times New Roman"/>
          <w:bCs/>
          <w:kern w:val="36"/>
          <w:szCs w:val="18"/>
          <w:lang w:val="fr-FR"/>
        </w:rPr>
        <w:t xml:space="preserve"> Voir à ce sujet, P. </w:t>
      </w:r>
      <w:proofErr w:type="spellStart"/>
      <w:r w:rsidRPr="00F14B54">
        <w:rPr>
          <w:rFonts w:eastAsia="Times New Roman"/>
          <w:bCs/>
          <w:smallCaps/>
          <w:kern w:val="36"/>
          <w:szCs w:val="18"/>
          <w:lang w:val="fr-FR"/>
        </w:rPr>
        <w:t>Dupichot</w:t>
      </w:r>
      <w:proofErr w:type="spellEnd"/>
      <w:r w:rsidRPr="00F14B54">
        <w:rPr>
          <w:smallCaps/>
          <w:szCs w:val="18"/>
          <w:lang w:val="fr-FR"/>
        </w:rPr>
        <w:t xml:space="preserve"> </w:t>
      </w:r>
      <w:r w:rsidRPr="00F14B54">
        <w:rPr>
          <w:i/>
          <w:szCs w:val="18"/>
          <w:lang w:val="fr-FR"/>
        </w:rPr>
        <w:t>in</w:t>
      </w:r>
      <w:r w:rsidRPr="00F14B54">
        <w:rPr>
          <w:szCs w:val="18"/>
          <w:lang w:val="fr-FR"/>
        </w:rPr>
        <w:t xml:space="preserve"> </w:t>
      </w:r>
      <w:r w:rsidRPr="00F14B54">
        <w:rPr>
          <w:bCs/>
          <w:szCs w:val="18"/>
          <w:lang w:val="fr-FR"/>
        </w:rPr>
        <w:t>« </w:t>
      </w:r>
      <w:r w:rsidRPr="00F14B54">
        <w:rPr>
          <w:rFonts w:eastAsia="Times New Roman"/>
          <w:bCs/>
          <w:kern w:val="36"/>
          <w:szCs w:val="18"/>
          <w:lang w:val="fr-FR"/>
        </w:rPr>
        <w:t xml:space="preserve">L’efficience économique du droit des sûretés réelles », </w:t>
      </w:r>
      <w:r w:rsidRPr="00F14B54">
        <w:rPr>
          <w:rFonts w:eastAsia="Times New Roman"/>
          <w:i/>
          <w:szCs w:val="18"/>
          <w:lang w:val="fr-FR"/>
        </w:rPr>
        <w:t>Petites affiches</w:t>
      </w:r>
      <w:r w:rsidRPr="00F14B54">
        <w:rPr>
          <w:rFonts w:eastAsia="Times New Roman"/>
          <w:szCs w:val="18"/>
          <w:lang w:val="fr-FR"/>
        </w:rPr>
        <w:t>, 16 avril 2010, n°</w:t>
      </w:r>
      <w:r w:rsidR="00A2648B">
        <w:rPr>
          <w:rFonts w:eastAsia="Times New Roman"/>
          <w:szCs w:val="18"/>
          <w:lang w:val="fr-FR"/>
        </w:rPr>
        <w:t xml:space="preserve"> </w:t>
      </w:r>
      <w:r w:rsidRPr="00F14B54">
        <w:rPr>
          <w:rFonts w:eastAsia="Times New Roman"/>
          <w:szCs w:val="18"/>
          <w:lang w:val="fr-FR"/>
        </w:rPr>
        <w:t>76, p.</w:t>
      </w:r>
      <w:r w:rsidR="00A2648B">
        <w:rPr>
          <w:rFonts w:eastAsia="Times New Roman"/>
          <w:szCs w:val="18"/>
          <w:lang w:val="fr-FR"/>
        </w:rPr>
        <w:t xml:space="preserve"> </w:t>
      </w:r>
      <w:r w:rsidRPr="00F14B54">
        <w:rPr>
          <w:rFonts w:eastAsia="Times New Roman"/>
          <w:szCs w:val="18"/>
          <w:lang w:val="fr-FR"/>
        </w:rPr>
        <w:t>7.</w:t>
      </w:r>
    </w:p>
  </w:footnote>
  <w:footnote w:id="74">
    <w:p w14:paraId="66B6D52D" w14:textId="276F4511" w:rsidR="00704A68" w:rsidRPr="00F14B54" w:rsidRDefault="00704A68" w:rsidP="0069582B">
      <w:pPr>
        <w:pStyle w:val="Sansinterligne"/>
        <w:contextualSpacing/>
        <w:rPr>
          <w:rFonts w:eastAsia="Times New Roman"/>
          <w:b/>
          <w:bCs/>
          <w:kern w:val="36"/>
          <w:sz w:val="18"/>
          <w:szCs w:val="18"/>
          <w:lang w:val="fr-FR"/>
        </w:rPr>
      </w:pPr>
      <w:r w:rsidRPr="00F14B54">
        <w:rPr>
          <w:rStyle w:val="Marquenotebasdepage"/>
          <w:sz w:val="18"/>
          <w:szCs w:val="18"/>
        </w:rPr>
        <w:footnoteRef/>
      </w:r>
      <w:r w:rsidRPr="00F14B54">
        <w:rPr>
          <w:sz w:val="18"/>
          <w:szCs w:val="18"/>
          <w:lang w:val="fr-FR"/>
        </w:rPr>
        <w:t xml:space="preserve"> L’interdiction des poursuites ne concernant que les biens de l’actif réalisable de la procédure. Voir </w:t>
      </w:r>
      <w:r w:rsidRPr="00F14B54">
        <w:rPr>
          <w:rFonts w:eastAsia="Times New Roman"/>
          <w:bCs/>
          <w:kern w:val="36"/>
          <w:sz w:val="18"/>
          <w:szCs w:val="18"/>
          <w:lang w:val="fr-FR"/>
        </w:rPr>
        <w:t xml:space="preserve">P. </w:t>
      </w:r>
      <w:r w:rsidRPr="00F14B54">
        <w:rPr>
          <w:rFonts w:eastAsia="Times New Roman"/>
          <w:bCs/>
          <w:smallCaps/>
          <w:kern w:val="36"/>
          <w:sz w:val="18"/>
          <w:szCs w:val="18"/>
          <w:lang w:val="fr-FR"/>
        </w:rPr>
        <w:t>Roussel-Galle</w:t>
      </w:r>
      <w:r w:rsidRPr="00F14B54">
        <w:rPr>
          <w:rFonts w:eastAsia="Times New Roman"/>
          <w:bCs/>
          <w:kern w:val="36"/>
          <w:sz w:val="18"/>
          <w:szCs w:val="18"/>
          <w:lang w:val="fr-FR"/>
        </w:rPr>
        <w:t xml:space="preserve"> </w:t>
      </w:r>
      <w:r w:rsidRPr="00F14B54">
        <w:rPr>
          <w:rFonts w:eastAsia="Times New Roman"/>
          <w:bCs/>
          <w:i/>
          <w:kern w:val="36"/>
          <w:sz w:val="18"/>
          <w:szCs w:val="18"/>
          <w:lang w:val="fr-FR"/>
        </w:rPr>
        <w:t>in</w:t>
      </w:r>
      <w:r w:rsidRPr="00F14B54">
        <w:rPr>
          <w:sz w:val="18"/>
          <w:szCs w:val="18"/>
          <w:lang w:val="fr-FR"/>
        </w:rPr>
        <w:t xml:space="preserve"> « </w:t>
      </w:r>
      <w:r w:rsidRPr="00F14B54">
        <w:rPr>
          <w:rFonts w:cs="Helvetica"/>
          <w:sz w:val="18"/>
          <w:szCs w:val="18"/>
          <w:lang w:val="fr-FR"/>
        </w:rPr>
        <w:t xml:space="preserve">Les sûretés réelles et le droit des entreprises en difficulté », </w:t>
      </w:r>
      <w:hyperlink r:id="rId2" w:history="1">
        <w:r w:rsidRPr="00F14B54">
          <w:rPr>
            <w:rFonts w:cs="Helvetica"/>
            <w:bCs/>
            <w:i/>
            <w:sz w:val="18"/>
            <w:szCs w:val="18"/>
            <w:lang w:val="fr-FR"/>
          </w:rPr>
          <w:t>Revue de Droit Bancaire et Financier</w:t>
        </w:r>
      </w:hyperlink>
      <w:r w:rsidRPr="00F14B54">
        <w:rPr>
          <w:rFonts w:cs="Helvetica"/>
          <w:bCs/>
          <w:sz w:val="18"/>
          <w:szCs w:val="18"/>
          <w:lang w:val="fr-FR"/>
        </w:rPr>
        <w:t>, 1</w:t>
      </w:r>
      <w:r w:rsidRPr="00F14B54">
        <w:rPr>
          <w:rFonts w:cs="Helvetica"/>
          <w:bCs/>
          <w:sz w:val="18"/>
          <w:szCs w:val="18"/>
          <w:vertAlign w:val="superscript"/>
          <w:lang w:val="fr-FR"/>
        </w:rPr>
        <w:t>er</w:t>
      </w:r>
      <w:r w:rsidRPr="00F14B54">
        <w:rPr>
          <w:rFonts w:cs="Helvetica"/>
          <w:bCs/>
          <w:sz w:val="18"/>
          <w:szCs w:val="18"/>
          <w:lang w:val="fr-FR"/>
        </w:rPr>
        <w:t xml:space="preserve"> septembre 2014, n°5, p.74-77.</w:t>
      </w:r>
    </w:p>
  </w:footnote>
  <w:footnote w:id="75">
    <w:p w14:paraId="0F1D1B22" w14:textId="4498E299"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L. </w:t>
      </w:r>
      <w:proofErr w:type="spellStart"/>
      <w:r w:rsidRPr="00F14B54">
        <w:rPr>
          <w:smallCaps/>
          <w:sz w:val="18"/>
          <w:szCs w:val="18"/>
          <w:lang w:val="fr-FR"/>
        </w:rPr>
        <w:t>Bougerol</w:t>
      </w:r>
      <w:proofErr w:type="spellEnd"/>
      <w:r w:rsidRPr="00F14B54">
        <w:rPr>
          <w:smallCaps/>
          <w:sz w:val="18"/>
          <w:szCs w:val="18"/>
          <w:lang w:val="fr-FR"/>
        </w:rPr>
        <w:t>-Prud’homme</w:t>
      </w:r>
      <w:r w:rsidRPr="00F14B54">
        <w:rPr>
          <w:sz w:val="18"/>
          <w:szCs w:val="18"/>
          <w:lang w:val="fr-FR"/>
        </w:rPr>
        <w:t xml:space="preserve"> </w:t>
      </w:r>
      <w:r w:rsidRPr="00F14B54">
        <w:rPr>
          <w:i/>
          <w:sz w:val="18"/>
          <w:szCs w:val="18"/>
          <w:lang w:val="fr-FR"/>
        </w:rPr>
        <w:t>in</w:t>
      </w:r>
      <w:r w:rsidRPr="00F14B54">
        <w:rPr>
          <w:sz w:val="18"/>
          <w:szCs w:val="18"/>
          <w:lang w:val="fr-FR"/>
        </w:rPr>
        <w:t xml:space="preserve"> « Sûretés préférentielles et sûretés exclusives, une autre </w:t>
      </w:r>
      <w:proofErr w:type="spellStart"/>
      <w:r w:rsidRPr="00F14B54">
        <w:rPr>
          <w:i/>
          <w:sz w:val="18"/>
          <w:szCs w:val="18"/>
          <w:lang w:val="fr-FR"/>
        </w:rPr>
        <w:t>summa</w:t>
      </w:r>
      <w:proofErr w:type="spellEnd"/>
      <w:r w:rsidRPr="00F14B54">
        <w:rPr>
          <w:i/>
          <w:sz w:val="18"/>
          <w:szCs w:val="18"/>
          <w:lang w:val="fr-FR"/>
        </w:rPr>
        <w:t xml:space="preserve"> </w:t>
      </w:r>
      <w:proofErr w:type="spellStart"/>
      <w:r w:rsidRPr="00F14B54">
        <w:rPr>
          <w:i/>
          <w:sz w:val="18"/>
          <w:szCs w:val="18"/>
          <w:lang w:val="fr-FR"/>
        </w:rPr>
        <w:t>divisio</w:t>
      </w:r>
      <w:proofErr w:type="spellEnd"/>
      <w:r w:rsidRPr="00F14B54">
        <w:rPr>
          <w:i/>
          <w:sz w:val="18"/>
          <w:szCs w:val="18"/>
          <w:lang w:val="fr-FR"/>
        </w:rPr>
        <w:t> </w:t>
      </w:r>
      <w:r w:rsidRPr="00F14B54">
        <w:rPr>
          <w:sz w:val="18"/>
          <w:szCs w:val="18"/>
          <w:lang w:val="fr-FR"/>
        </w:rPr>
        <w:t xml:space="preserve">? », </w:t>
      </w:r>
      <w:hyperlink r:id="rId3" w:history="1">
        <w:r w:rsidRPr="00F14B54">
          <w:rPr>
            <w:bCs/>
            <w:i/>
            <w:sz w:val="18"/>
            <w:szCs w:val="18"/>
            <w:lang w:val="fr-FR"/>
          </w:rPr>
          <w:t>Revue de Droit Bancaire et Financier</w:t>
        </w:r>
      </w:hyperlink>
      <w:r w:rsidRPr="00F14B54">
        <w:rPr>
          <w:bCs/>
          <w:sz w:val="18"/>
          <w:szCs w:val="18"/>
          <w:lang w:val="fr-FR"/>
        </w:rPr>
        <w:t>, 1</w:t>
      </w:r>
      <w:r w:rsidRPr="00F14B54">
        <w:rPr>
          <w:bCs/>
          <w:sz w:val="18"/>
          <w:szCs w:val="18"/>
          <w:vertAlign w:val="superscript"/>
          <w:lang w:val="fr-FR"/>
        </w:rPr>
        <w:t>er</w:t>
      </w:r>
      <w:r w:rsidRPr="00F14B54">
        <w:rPr>
          <w:bCs/>
          <w:sz w:val="18"/>
          <w:szCs w:val="18"/>
          <w:lang w:val="fr-FR"/>
        </w:rPr>
        <w:t xml:space="preserve"> septembre 2014, n°</w:t>
      </w:r>
      <w:r w:rsidR="00A2648B">
        <w:rPr>
          <w:bCs/>
          <w:sz w:val="18"/>
          <w:szCs w:val="18"/>
          <w:lang w:val="fr-FR"/>
        </w:rPr>
        <w:t xml:space="preserve"> </w:t>
      </w:r>
      <w:r w:rsidRPr="00F14B54">
        <w:rPr>
          <w:bCs/>
          <w:sz w:val="18"/>
          <w:szCs w:val="18"/>
          <w:lang w:val="fr-FR"/>
        </w:rPr>
        <w:t>5, p.</w:t>
      </w:r>
      <w:r w:rsidR="00A2648B">
        <w:rPr>
          <w:bCs/>
          <w:sz w:val="18"/>
          <w:szCs w:val="18"/>
          <w:lang w:val="fr-FR"/>
        </w:rPr>
        <w:t> </w:t>
      </w:r>
      <w:r w:rsidRPr="00F14B54">
        <w:rPr>
          <w:bCs/>
          <w:sz w:val="18"/>
          <w:szCs w:val="18"/>
          <w:lang w:val="fr-FR"/>
        </w:rPr>
        <w:t>67-70.</w:t>
      </w:r>
    </w:p>
  </w:footnote>
  <w:footnote w:id="76">
    <w:p w14:paraId="6AA69D86" w14:textId="3839D1E9" w:rsidR="00704A68" w:rsidRPr="00F14B54" w:rsidRDefault="00704A68" w:rsidP="0069582B">
      <w:pPr>
        <w:pStyle w:val="Sansinterligne"/>
        <w:contextualSpacing/>
        <w:rPr>
          <w:rFonts w:eastAsia="Times New Roman"/>
          <w:bCs/>
          <w:kern w:val="36"/>
          <w:sz w:val="18"/>
          <w:szCs w:val="18"/>
          <w:lang w:val="fr-FR"/>
        </w:rPr>
      </w:pPr>
      <w:r w:rsidRPr="00F14B54">
        <w:rPr>
          <w:rStyle w:val="Marquenotebasdepage"/>
          <w:sz w:val="18"/>
          <w:szCs w:val="18"/>
        </w:rPr>
        <w:footnoteRef/>
      </w:r>
      <w:r w:rsidRPr="00F14B54">
        <w:rPr>
          <w:sz w:val="18"/>
          <w:szCs w:val="18"/>
          <w:lang w:val="fr-FR"/>
        </w:rPr>
        <w:t xml:space="preserve"> Voir les articles 2372-1 à 2372-5 du Code civil. Voir en outre</w:t>
      </w:r>
      <w:r w:rsidR="00C56D3D">
        <w:rPr>
          <w:sz w:val="18"/>
          <w:szCs w:val="18"/>
          <w:lang w:val="fr-FR"/>
        </w:rPr>
        <w:t>,</w:t>
      </w:r>
      <w:r w:rsidRPr="00F14B54">
        <w:rPr>
          <w:sz w:val="18"/>
          <w:szCs w:val="18"/>
          <w:lang w:val="fr-FR"/>
        </w:rPr>
        <w:t xml:space="preserve"> </w:t>
      </w:r>
      <w:r w:rsidRPr="00F14B54">
        <w:rPr>
          <w:rFonts w:eastAsia="Times New Roman"/>
          <w:bCs/>
          <w:kern w:val="36"/>
          <w:sz w:val="18"/>
          <w:szCs w:val="18"/>
          <w:lang w:val="fr-FR"/>
        </w:rPr>
        <w:t xml:space="preserve">M. </w:t>
      </w:r>
      <w:r w:rsidRPr="00F14B54">
        <w:rPr>
          <w:rFonts w:eastAsia="Times New Roman"/>
          <w:bCs/>
          <w:smallCaps/>
          <w:kern w:val="36"/>
          <w:sz w:val="18"/>
          <w:szCs w:val="18"/>
          <w:lang w:val="fr-FR"/>
        </w:rPr>
        <w:t xml:space="preserve">Combe </w:t>
      </w:r>
      <w:r w:rsidRPr="00F14B54">
        <w:rPr>
          <w:rFonts w:eastAsia="Times New Roman"/>
          <w:bCs/>
          <w:i/>
          <w:kern w:val="36"/>
          <w:sz w:val="18"/>
          <w:szCs w:val="18"/>
          <w:lang w:val="fr-FR"/>
        </w:rPr>
        <w:t xml:space="preserve">in </w:t>
      </w:r>
      <w:r w:rsidRPr="00F14B54">
        <w:rPr>
          <w:rFonts w:eastAsia="Times New Roman"/>
          <w:bCs/>
          <w:kern w:val="36"/>
          <w:sz w:val="18"/>
          <w:szCs w:val="18"/>
          <w:lang w:val="fr-FR"/>
        </w:rPr>
        <w:t xml:space="preserve">« L’efficacité de la fiducie-sûreté », </w:t>
      </w:r>
      <w:r w:rsidRPr="00F14B54">
        <w:rPr>
          <w:rFonts w:eastAsia="Times New Roman"/>
          <w:i/>
          <w:sz w:val="18"/>
          <w:szCs w:val="18"/>
          <w:lang w:val="fr-FR"/>
        </w:rPr>
        <w:t>Petites affiches</w:t>
      </w:r>
      <w:r w:rsidRPr="00F14B54">
        <w:rPr>
          <w:rFonts w:eastAsia="Times New Roman"/>
          <w:sz w:val="18"/>
          <w:szCs w:val="18"/>
          <w:lang w:val="fr-FR"/>
        </w:rPr>
        <w:t>, 11 février 2011, n</w:t>
      </w:r>
      <w:r w:rsidR="00A2648B" w:rsidRPr="00F14B54">
        <w:rPr>
          <w:rFonts w:eastAsia="Times New Roman"/>
          <w:sz w:val="18"/>
          <w:szCs w:val="18"/>
          <w:lang w:val="fr-FR"/>
        </w:rPr>
        <w:t>°</w:t>
      </w:r>
      <w:r w:rsidR="00A2648B">
        <w:rPr>
          <w:rFonts w:eastAsia="Times New Roman"/>
          <w:sz w:val="18"/>
          <w:szCs w:val="18"/>
          <w:lang w:val="fr-FR"/>
        </w:rPr>
        <w:t xml:space="preserve"> </w:t>
      </w:r>
      <w:r w:rsidRPr="00F14B54">
        <w:rPr>
          <w:rFonts w:eastAsia="Times New Roman"/>
          <w:sz w:val="18"/>
          <w:szCs w:val="18"/>
          <w:lang w:val="fr-FR"/>
        </w:rPr>
        <w:t>30, p.</w:t>
      </w:r>
      <w:r w:rsidR="00A2648B">
        <w:rPr>
          <w:rFonts w:eastAsia="Times New Roman"/>
          <w:sz w:val="18"/>
          <w:szCs w:val="18"/>
          <w:lang w:val="fr-FR"/>
        </w:rPr>
        <w:t xml:space="preserve"> </w:t>
      </w:r>
      <w:r w:rsidRPr="00F14B54">
        <w:rPr>
          <w:rFonts w:eastAsia="Times New Roman"/>
          <w:sz w:val="18"/>
          <w:szCs w:val="18"/>
          <w:lang w:val="fr-FR"/>
        </w:rPr>
        <w:t>8.</w:t>
      </w:r>
    </w:p>
  </w:footnote>
  <w:footnote w:id="77">
    <w:p w14:paraId="14F60409" w14:textId="4F42F9A4" w:rsidR="00704A68" w:rsidRPr="00F14B54" w:rsidRDefault="00704A68" w:rsidP="0069582B">
      <w:pPr>
        <w:pStyle w:val="Sansinterligne"/>
        <w:contextualSpacing/>
        <w:rPr>
          <w:rFonts w:eastAsia="Times New Roman"/>
          <w:sz w:val="18"/>
          <w:szCs w:val="18"/>
          <w:lang w:val="fr-FR"/>
        </w:rPr>
      </w:pPr>
      <w:r w:rsidRPr="00F14B54">
        <w:rPr>
          <w:rStyle w:val="Marquenotebasdepage"/>
          <w:sz w:val="18"/>
          <w:szCs w:val="18"/>
        </w:rPr>
        <w:footnoteRef/>
      </w:r>
      <w:r w:rsidRPr="00F14B54">
        <w:rPr>
          <w:sz w:val="18"/>
          <w:szCs w:val="18"/>
          <w:lang w:val="fr-FR"/>
        </w:rPr>
        <w:t xml:space="preserve"> Énoncée à l’article 2367 du Code civil. </w:t>
      </w:r>
      <w:r w:rsidRPr="00F14B54">
        <w:rPr>
          <w:rFonts w:eastAsia="Times New Roman"/>
          <w:sz w:val="18"/>
          <w:szCs w:val="18"/>
          <w:lang w:val="fr-FR"/>
        </w:rPr>
        <w:t xml:space="preserve">Voir D. </w:t>
      </w:r>
      <w:proofErr w:type="spellStart"/>
      <w:r w:rsidRPr="00F14B54">
        <w:rPr>
          <w:rFonts w:eastAsia="Times New Roman"/>
          <w:smallCaps/>
          <w:sz w:val="18"/>
          <w:szCs w:val="18"/>
          <w:lang w:val="fr-FR"/>
        </w:rPr>
        <w:t>Voinot</w:t>
      </w:r>
      <w:proofErr w:type="spellEnd"/>
      <w:r w:rsidRPr="00F14B54">
        <w:rPr>
          <w:rFonts w:eastAsia="Times New Roman"/>
          <w:sz w:val="18"/>
          <w:szCs w:val="18"/>
          <w:lang w:val="fr-FR"/>
        </w:rPr>
        <w:t xml:space="preserve"> </w:t>
      </w:r>
      <w:r w:rsidRPr="00F14B54">
        <w:rPr>
          <w:rFonts w:eastAsia="Times New Roman"/>
          <w:i/>
          <w:sz w:val="18"/>
          <w:szCs w:val="18"/>
          <w:lang w:val="fr-FR"/>
        </w:rPr>
        <w:t>in</w:t>
      </w:r>
      <w:r w:rsidRPr="00F14B54">
        <w:rPr>
          <w:rFonts w:eastAsia="Times New Roman"/>
          <w:sz w:val="18"/>
          <w:szCs w:val="18"/>
          <w:lang w:val="fr-FR"/>
        </w:rPr>
        <w:t xml:space="preserve"> « </w:t>
      </w:r>
      <w:r w:rsidRPr="00F14B54">
        <w:rPr>
          <w:rFonts w:eastAsia="Times New Roman"/>
          <w:bCs/>
          <w:kern w:val="36"/>
          <w:sz w:val="18"/>
          <w:szCs w:val="18"/>
          <w:lang w:val="fr-FR"/>
        </w:rPr>
        <w:t xml:space="preserve">Effectivité et efficacité de la réserve de propriété après la réforme du droit des sûretés », </w:t>
      </w:r>
      <w:r w:rsidRPr="00F14B54">
        <w:rPr>
          <w:rFonts w:eastAsia="Times New Roman"/>
          <w:i/>
          <w:sz w:val="18"/>
          <w:szCs w:val="18"/>
          <w:lang w:val="fr-FR"/>
        </w:rPr>
        <w:t>Petites affiches</w:t>
      </w:r>
      <w:r w:rsidRPr="00F14B54">
        <w:rPr>
          <w:rFonts w:eastAsia="Times New Roman"/>
          <w:sz w:val="18"/>
          <w:szCs w:val="18"/>
          <w:lang w:val="fr-FR"/>
        </w:rPr>
        <w:t>, 27 mars 2008, n°</w:t>
      </w:r>
      <w:r w:rsidR="00A2648B">
        <w:rPr>
          <w:rFonts w:eastAsia="Times New Roman"/>
          <w:sz w:val="18"/>
          <w:szCs w:val="18"/>
          <w:lang w:val="fr-FR"/>
        </w:rPr>
        <w:t xml:space="preserve"> </w:t>
      </w:r>
      <w:r w:rsidRPr="00F14B54">
        <w:rPr>
          <w:rFonts w:eastAsia="Times New Roman"/>
          <w:sz w:val="18"/>
          <w:szCs w:val="18"/>
          <w:lang w:val="fr-FR"/>
        </w:rPr>
        <w:t>63, p.43890.</w:t>
      </w:r>
    </w:p>
  </w:footnote>
  <w:footnote w:id="78">
    <w:p w14:paraId="3D058564" w14:textId="1D36B8AE" w:rsidR="00704A68" w:rsidRPr="00F14B54" w:rsidRDefault="00704A68" w:rsidP="0069582B">
      <w:pPr>
        <w:pStyle w:val="Sansinterligne"/>
        <w:contextualSpacing/>
        <w:rPr>
          <w:sz w:val="18"/>
          <w:szCs w:val="18"/>
          <w:lang w:val="fr-FR"/>
        </w:rPr>
      </w:pPr>
      <w:r w:rsidRPr="00F14B54">
        <w:rPr>
          <w:rStyle w:val="Marquenotebasdepage"/>
          <w:sz w:val="18"/>
          <w:szCs w:val="18"/>
        </w:rPr>
        <w:footnoteRef/>
      </w:r>
      <w:r w:rsidRPr="00F14B54">
        <w:rPr>
          <w:sz w:val="18"/>
          <w:szCs w:val="18"/>
          <w:lang w:val="fr-FR"/>
        </w:rPr>
        <w:t xml:space="preserve"> Voir l’article L.313-23 du Code monétaire et financier. Voir L. </w:t>
      </w:r>
      <w:proofErr w:type="spellStart"/>
      <w:r w:rsidRPr="00F14B54">
        <w:rPr>
          <w:smallCaps/>
          <w:sz w:val="18"/>
          <w:szCs w:val="18"/>
          <w:lang w:val="fr-FR"/>
        </w:rPr>
        <w:t>Aynes</w:t>
      </w:r>
      <w:proofErr w:type="spellEnd"/>
      <w:r w:rsidRPr="00F14B54">
        <w:rPr>
          <w:sz w:val="18"/>
          <w:szCs w:val="18"/>
          <w:lang w:val="fr-FR"/>
        </w:rPr>
        <w:t xml:space="preserve"> </w:t>
      </w:r>
      <w:r w:rsidRPr="00F14B54">
        <w:rPr>
          <w:i/>
          <w:sz w:val="18"/>
          <w:szCs w:val="18"/>
          <w:lang w:val="fr-FR"/>
        </w:rPr>
        <w:t xml:space="preserve">in </w:t>
      </w:r>
      <w:r w:rsidRPr="00F14B54">
        <w:rPr>
          <w:sz w:val="18"/>
          <w:szCs w:val="18"/>
          <w:lang w:val="fr-FR"/>
        </w:rPr>
        <w:t>« </w:t>
      </w:r>
      <w:r w:rsidRPr="00F14B54">
        <w:rPr>
          <w:rFonts w:cs="Helvetica"/>
          <w:sz w:val="18"/>
          <w:szCs w:val="18"/>
          <w:lang w:val="fr-FR"/>
        </w:rPr>
        <w:t xml:space="preserve">Cession "Dailly" et procédures collectives », </w:t>
      </w:r>
      <w:hyperlink r:id="rId4" w:history="1">
        <w:r w:rsidRPr="00F14B54">
          <w:rPr>
            <w:rFonts w:cs="Helvetica"/>
            <w:bCs/>
            <w:i/>
            <w:sz w:val="18"/>
            <w:szCs w:val="18"/>
            <w:lang w:val="fr-FR"/>
          </w:rPr>
          <w:t>Droit et Patrimoine</w:t>
        </w:r>
      </w:hyperlink>
      <w:r w:rsidRPr="00F14B54">
        <w:rPr>
          <w:rFonts w:cs="Helvetica"/>
          <w:bCs/>
          <w:sz w:val="18"/>
          <w:szCs w:val="18"/>
          <w:lang w:val="fr-FR"/>
        </w:rPr>
        <w:t>, 1</w:t>
      </w:r>
      <w:r w:rsidRPr="00F14B54">
        <w:rPr>
          <w:rFonts w:cs="Helvetica"/>
          <w:bCs/>
          <w:sz w:val="18"/>
          <w:szCs w:val="18"/>
          <w:vertAlign w:val="superscript"/>
          <w:lang w:val="fr-FR"/>
        </w:rPr>
        <w:t>er</w:t>
      </w:r>
      <w:r w:rsidRPr="00F14B54">
        <w:rPr>
          <w:rFonts w:cs="Helvetica"/>
          <w:bCs/>
          <w:sz w:val="18"/>
          <w:szCs w:val="18"/>
          <w:lang w:val="fr-FR"/>
        </w:rPr>
        <w:t xml:space="preserve"> juillet 2013, n°227, p.</w:t>
      </w:r>
      <w:r w:rsidR="00A2648B">
        <w:rPr>
          <w:rFonts w:cs="Helvetica"/>
          <w:bCs/>
          <w:sz w:val="18"/>
          <w:szCs w:val="18"/>
          <w:lang w:val="fr-FR"/>
        </w:rPr>
        <w:t xml:space="preserve"> </w:t>
      </w:r>
      <w:r w:rsidRPr="00F14B54">
        <w:rPr>
          <w:rFonts w:cs="Helvetica"/>
          <w:bCs/>
          <w:sz w:val="18"/>
          <w:szCs w:val="18"/>
          <w:lang w:val="fr-FR"/>
        </w:rPr>
        <w:t xml:space="preserve">96. </w:t>
      </w:r>
    </w:p>
  </w:footnote>
  <w:footnote w:id="79">
    <w:p w14:paraId="17DB290B" w14:textId="4E594316"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Lorsque le bien affecté en garantie du paiement de la dette est un bien nécessaire à la poursuite de l’activité de l’entreprise en difficulté. Voir M. </w:t>
      </w:r>
      <w:proofErr w:type="spellStart"/>
      <w:r w:rsidRPr="00F14B54">
        <w:rPr>
          <w:smallCaps/>
          <w:szCs w:val="18"/>
          <w:lang w:val="fr-FR"/>
        </w:rPr>
        <w:t>Cabrillac</w:t>
      </w:r>
      <w:proofErr w:type="spellEnd"/>
      <w:r w:rsidRPr="00F14B54">
        <w:rPr>
          <w:szCs w:val="18"/>
          <w:lang w:val="fr-FR"/>
        </w:rPr>
        <w:t xml:space="preserve">, C. </w:t>
      </w:r>
      <w:proofErr w:type="spellStart"/>
      <w:r w:rsidRPr="00F14B54">
        <w:rPr>
          <w:smallCaps/>
          <w:szCs w:val="18"/>
          <w:lang w:val="fr-FR"/>
        </w:rPr>
        <w:t>Mouly</w:t>
      </w:r>
      <w:proofErr w:type="spellEnd"/>
      <w:r w:rsidR="00A2648B">
        <w:rPr>
          <w:szCs w:val="18"/>
          <w:lang w:val="fr-FR"/>
        </w:rPr>
        <w:t>, S. </w:t>
      </w:r>
      <w:proofErr w:type="spellStart"/>
      <w:r w:rsidRPr="00F14B54">
        <w:rPr>
          <w:smallCaps/>
          <w:szCs w:val="18"/>
          <w:lang w:val="fr-FR"/>
        </w:rPr>
        <w:t>Cabrillac</w:t>
      </w:r>
      <w:proofErr w:type="spellEnd"/>
      <w:r w:rsidRPr="00F14B54">
        <w:rPr>
          <w:szCs w:val="18"/>
          <w:lang w:val="fr-FR"/>
        </w:rPr>
        <w:t xml:space="preserve">, et P. </w:t>
      </w:r>
      <w:proofErr w:type="spellStart"/>
      <w:r w:rsidRPr="00F14B54">
        <w:rPr>
          <w:smallCaps/>
          <w:szCs w:val="18"/>
          <w:lang w:val="fr-FR"/>
        </w:rPr>
        <w:t>Petel</w:t>
      </w:r>
      <w:proofErr w:type="spellEnd"/>
      <w:r w:rsidRPr="00F14B54">
        <w:rPr>
          <w:szCs w:val="18"/>
          <w:lang w:val="fr-FR"/>
        </w:rPr>
        <w:t xml:space="preserve"> </w:t>
      </w:r>
      <w:r w:rsidRPr="00C56D3D">
        <w:rPr>
          <w:i/>
          <w:szCs w:val="18"/>
          <w:lang w:val="fr-FR"/>
        </w:rPr>
        <w:t>in Droit des sûretés</w:t>
      </w:r>
      <w:r w:rsidRPr="00F14B54">
        <w:rPr>
          <w:szCs w:val="18"/>
          <w:lang w:val="fr-FR"/>
        </w:rPr>
        <w:t xml:space="preserve">, </w:t>
      </w:r>
      <w:proofErr w:type="spellStart"/>
      <w:r w:rsidRPr="00C56D3D">
        <w:rPr>
          <w:szCs w:val="18"/>
          <w:lang w:val="fr-FR"/>
        </w:rPr>
        <w:t>Litec</w:t>
      </w:r>
      <w:proofErr w:type="spellEnd"/>
      <w:r w:rsidRPr="00F14B54">
        <w:rPr>
          <w:szCs w:val="18"/>
          <w:lang w:val="fr-FR"/>
        </w:rPr>
        <w:t>, 9</w:t>
      </w:r>
      <w:r w:rsidRPr="00F14B54">
        <w:rPr>
          <w:szCs w:val="18"/>
          <w:vertAlign w:val="superscript"/>
          <w:lang w:val="fr-FR"/>
        </w:rPr>
        <w:t>ème</w:t>
      </w:r>
      <w:r w:rsidRPr="00F14B54">
        <w:rPr>
          <w:szCs w:val="18"/>
          <w:lang w:val="fr-FR"/>
        </w:rPr>
        <w:t xml:space="preserve"> édition. </w:t>
      </w:r>
    </w:p>
  </w:footnote>
  <w:footnote w:id="80">
    <w:p w14:paraId="4DC24B0F" w14:textId="0534DC5C" w:rsidR="00704A68" w:rsidRPr="00F14B54" w:rsidRDefault="00704A68" w:rsidP="0069582B">
      <w:pPr>
        <w:pStyle w:val="Notedebasdepage"/>
        <w:contextualSpacing/>
        <w:rPr>
          <w:szCs w:val="18"/>
          <w:lang w:val="fr-FR"/>
        </w:rPr>
      </w:pPr>
      <w:r w:rsidRPr="00F14B54">
        <w:rPr>
          <w:rStyle w:val="Marquenotebasdepage"/>
          <w:szCs w:val="18"/>
        </w:rPr>
        <w:footnoteRef/>
      </w:r>
      <w:r w:rsidRPr="00F14B54">
        <w:rPr>
          <w:szCs w:val="18"/>
          <w:lang w:val="fr-FR"/>
        </w:rPr>
        <w:t xml:space="preserve"> Les actions contre les garants personnes physiques étant, dans certaines hypothèses, paralysées au sens de L.</w:t>
      </w:r>
      <w:r w:rsidR="00A2648B">
        <w:rPr>
          <w:szCs w:val="18"/>
          <w:lang w:val="fr-FR"/>
        </w:rPr>
        <w:t xml:space="preserve"> </w:t>
      </w:r>
      <w:r w:rsidRPr="00F14B54">
        <w:rPr>
          <w:szCs w:val="18"/>
          <w:lang w:val="fr-FR"/>
        </w:rPr>
        <w:t>622-28 alinéa 2 du Code de commerce.</w:t>
      </w:r>
      <w:r w:rsidRPr="00F14B54">
        <w:rPr>
          <w:rFonts w:eastAsia="Times New Roman"/>
          <w:bCs/>
          <w:kern w:val="36"/>
          <w:szCs w:val="18"/>
          <w:lang w:val="fr-FR"/>
        </w:rPr>
        <w:t xml:space="preserve"> Voir à ce sujet, P.</w:t>
      </w:r>
      <w:r w:rsidR="00A2648B">
        <w:rPr>
          <w:rFonts w:eastAsia="Times New Roman"/>
          <w:bCs/>
          <w:kern w:val="36"/>
          <w:szCs w:val="18"/>
          <w:lang w:val="fr-FR"/>
        </w:rPr>
        <w:t> </w:t>
      </w:r>
      <w:proofErr w:type="spellStart"/>
      <w:r w:rsidRPr="00F14B54">
        <w:rPr>
          <w:rFonts w:eastAsia="Times New Roman"/>
          <w:bCs/>
          <w:smallCaps/>
          <w:kern w:val="36"/>
          <w:szCs w:val="18"/>
          <w:lang w:val="fr-FR"/>
        </w:rPr>
        <w:t>Dupichot</w:t>
      </w:r>
      <w:proofErr w:type="spellEnd"/>
      <w:r w:rsidRPr="00F14B54">
        <w:rPr>
          <w:szCs w:val="18"/>
          <w:lang w:val="fr-FR"/>
        </w:rPr>
        <w:t xml:space="preserve"> </w:t>
      </w:r>
      <w:r w:rsidRPr="00F14B54">
        <w:rPr>
          <w:i/>
          <w:szCs w:val="18"/>
          <w:lang w:val="fr-FR"/>
        </w:rPr>
        <w:t xml:space="preserve">in </w:t>
      </w:r>
      <w:r w:rsidRPr="00F14B54">
        <w:rPr>
          <w:rFonts w:eastAsia="Times New Roman"/>
          <w:bCs/>
          <w:kern w:val="36"/>
          <w:szCs w:val="18"/>
          <w:lang w:val="fr-FR"/>
        </w:rPr>
        <w:t xml:space="preserve">« L’efficience économique du droit des sûretés personnelles », </w:t>
      </w:r>
      <w:r w:rsidRPr="00F14B54">
        <w:rPr>
          <w:rFonts w:eastAsia="Times New Roman"/>
          <w:i/>
          <w:szCs w:val="18"/>
          <w:lang w:val="fr-FR"/>
        </w:rPr>
        <w:t>Petites affiches</w:t>
      </w:r>
      <w:r w:rsidRPr="00F14B54">
        <w:rPr>
          <w:rFonts w:eastAsia="Times New Roman"/>
          <w:szCs w:val="18"/>
          <w:lang w:val="fr-FR"/>
        </w:rPr>
        <w:t>, 14 avril 2010, n°</w:t>
      </w:r>
      <w:r w:rsidR="00A2648B">
        <w:rPr>
          <w:rFonts w:eastAsia="Times New Roman"/>
          <w:szCs w:val="18"/>
          <w:lang w:val="fr-FR"/>
        </w:rPr>
        <w:t xml:space="preserve"> </w:t>
      </w:r>
      <w:r w:rsidRPr="00F14B54">
        <w:rPr>
          <w:rFonts w:eastAsia="Times New Roman"/>
          <w:szCs w:val="18"/>
          <w:lang w:val="fr-FR"/>
        </w:rPr>
        <w:t>74, p.</w:t>
      </w:r>
      <w:r w:rsidR="00A2648B">
        <w:rPr>
          <w:rFonts w:eastAsia="Times New Roman"/>
          <w:szCs w:val="18"/>
          <w:lang w:val="fr-FR"/>
        </w:rPr>
        <w:t xml:space="preserve"> </w:t>
      </w:r>
      <w:r w:rsidRPr="00F14B54">
        <w:rPr>
          <w:rFonts w:eastAsia="Times New Roman"/>
          <w:szCs w:val="18"/>
          <w:lang w:val="fr-FR"/>
        </w:rPr>
        <w:t>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6AF7" w14:textId="38EB2361" w:rsidR="00704A68" w:rsidRPr="001C653C" w:rsidRDefault="00704A68" w:rsidP="00FD7A20">
    <w:pPr>
      <w:pStyle w:val="En-tte"/>
      <w:pBdr>
        <w:bottom w:val="single" w:sz="4" w:space="1" w:color="auto"/>
      </w:pBdr>
      <w:jc w:val="center"/>
      <w:rPr>
        <w:sz w:val="16"/>
        <w:szCs w:val="16"/>
        <w:lang w:val="fr-FR"/>
      </w:rPr>
    </w:pPr>
    <w:r w:rsidRPr="001C653C">
      <w:rPr>
        <w:sz w:val="16"/>
        <w:szCs w:val="16"/>
        <w:lang w:val="fr-FR"/>
      </w:rPr>
      <w:t xml:space="preserve">Introduction sur la nécessité d’une altération du droit pour les besoins de la restructuration des entreprises  </w:t>
    </w:r>
    <w:r w:rsidRPr="001C653C">
      <w:rPr>
        <w:sz w:val="16"/>
        <w:szCs w:val="16"/>
      </w:rPr>
      <w:fldChar w:fldCharType="begin"/>
    </w:r>
    <w:r w:rsidRPr="001C653C">
      <w:rPr>
        <w:sz w:val="16"/>
        <w:szCs w:val="16"/>
        <w:lang w:val="fr-FR"/>
      </w:rPr>
      <w:instrText xml:space="preserve"> TITLE  \* MERGEFORMAT </w:instrText>
    </w:r>
    <w:r w:rsidRPr="001C653C">
      <w:rPr>
        <w:sz w:val="16"/>
        <w:szCs w:val="16"/>
      </w:rPr>
      <w:fldChar w:fldCharType="end"/>
    </w:r>
    <w:r w:rsidRPr="001C653C">
      <w:rPr>
        <w:b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53C">
      <w:rPr>
        <w:sz w:val="16"/>
        <w:szCs w:val="16"/>
      </w:rPr>
      <w:fldChar w:fldCharType="begin"/>
    </w:r>
    <w:r w:rsidRPr="001C653C">
      <w:rPr>
        <w:sz w:val="16"/>
        <w:szCs w:val="16"/>
        <w:lang w:val="fr-FR"/>
      </w:rPr>
      <w:instrText xml:space="preserve"> TITLE  \* MERGEFORMAT </w:instrText>
    </w:r>
    <w:r w:rsidRPr="001C653C">
      <w:rPr>
        <w:sz w:val="16"/>
        <w:szCs w:val="16"/>
      </w:rPr>
      <w:fldChar w:fldCharType="end"/>
    </w:r>
    <w:r w:rsidRPr="001C653C">
      <w:rPr>
        <w:sz w:val="16"/>
        <w:szCs w:val="16"/>
        <w:lang w:val="fr-FR"/>
      </w:rPr>
      <w:t>– Déborah Sahel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6D69" w14:textId="1B4B410B" w:rsidR="00704A68" w:rsidRDefault="00704A6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C22C7"/>
    <w:multiLevelType w:val="hybridMultilevel"/>
    <w:tmpl w:val="8B5CE97C"/>
    <w:lvl w:ilvl="0" w:tplc="CA3291CC">
      <w:start w:val="1"/>
      <w:numFmt w:val="decimal"/>
      <w:pStyle w:val="Titre3"/>
      <w:lvlText w:val="%1)"/>
      <w:lvlJc w:val="left"/>
      <w:pPr>
        <w:ind w:left="248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7">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5BF05BF"/>
    <w:multiLevelType w:val="hybridMultilevel"/>
    <w:tmpl w:val="D518761A"/>
    <w:lvl w:ilvl="0" w:tplc="4F002716">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9">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8154C9"/>
    <w:multiLevelType w:val="hybridMultilevel"/>
    <w:tmpl w:val="59DA5D36"/>
    <w:lvl w:ilvl="0" w:tplc="A7841A10">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B251F1"/>
    <w:multiLevelType w:val="hybridMultilevel"/>
    <w:tmpl w:val="7EFACD26"/>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A2646D"/>
    <w:multiLevelType w:val="hybridMultilevel"/>
    <w:tmpl w:val="968CF7B2"/>
    <w:lvl w:ilvl="0" w:tplc="D6A28CFE">
      <w:numFmt w:val="bullet"/>
      <w:lvlText w:val="-"/>
      <w:lvlJc w:val="left"/>
      <w:pPr>
        <w:tabs>
          <w:tab w:val="num" w:pos="720"/>
        </w:tabs>
        <w:ind w:left="720" w:hanging="720"/>
      </w:pPr>
      <w:rPr>
        <w:rFonts w:ascii="Times New Roman" w:eastAsia="Times New Roman" w:hAnsi="Times New Roman" w:hint="default"/>
        <w:sz w:val="24"/>
      </w:rPr>
    </w:lvl>
    <w:lvl w:ilvl="1" w:tplc="040C0003">
      <w:start w:val="1"/>
      <w:numFmt w:val="bullet"/>
      <w:lvlText w:val="o"/>
      <w:lvlJc w:val="left"/>
      <w:pPr>
        <w:tabs>
          <w:tab w:val="num" w:pos="1080"/>
        </w:tabs>
        <w:ind w:left="1080" w:hanging="360"/>
      </w:pPr>
      <w:rPr>
        <w:rFonts w:ascii="Courier New" w:hAnsi="Courier New" w:cs="Courier New" w:hint="default"/>
        <w:b w:val="0"/>
        <w:i/>
        <w:caps w:val="0"/>
        <w:smallCaps w:val="0"/>
        <w:strike w:val="0"/>
        <w:dstrike w:val="0"/>
        <w:snapToGrid w:val="0"/>
      </w:rPr>
    </w:lvl>
    <w:lvl w:ilvl="2" w:tplc="040C0005">
      <w:start w:val="1"/>
      <w:numFmt w:val="bullet"/>
      <w:lvlText w:val=""/>
      <w:lvlJc w:val="left"/>
      <w:pPr>
        <w:tabs>
          <w:tab w:val="num" w:pos="1800"/>
        </w:tabs>
        <w:ind w:left="1800" w:hanging="360"/>
      </w:pPr>
      <w:rPr>
        <w:rFonts w:ascii="Wingdings" w:hAnsi="Wingdings" w:cs="Times New Roman" w:hint="default"/>
        <w:b w:val="0"/>
        <w:i/>
        <w:caps w:val="0"/>
        <w:smallCaps w:val="0"/>
        <w:strike w:val="0"/>
        <w:dstrike w:val="0"/>
        <w:snapToGrid w:val="0"/>
      </w:rPr>
    </w:lvl>
    <w:lvl w:ilvl="3" w:tplc="040C0001">
      <w:start w:val="1"/>
      <w:numFmt w:val="bullet"/>
      <w:lvlText w:val=""/>
      <w:lvlJc w:val="left"/>
      <w:pPr>
        <w:tabs>
          <w:tab w:val="num" w:pos="2520"/>
        </w:tabs>
        <w:ind w:left="2520" w:hanging="360"/>
      </w:pPr>
      <w:rPr>
        <w:rFonts w:ascii="Symbol" w:hAnsi="Symbol" w:cs="Times New Roman" w:hint="default"/>
        <w:b/>
        <w:i/>
        <w:caps w:val="0"/>
        <w:smallCaps w:val="0"/>
        <w:strike w:val="0"/>
        <w:dstrike w:val="0"/>
        <w:snapToGrid w:val="0"/>
      </w:rPr>
    </w:lvl>
    <w:lvl w:ilvl="4" w:tplc="040C0003">
      <w:start w:val="1"/>
      <w:numFmt w:val="bullet"/>
      <w:lvlText w:val="o"/>
      <w:lvlJc w:val="left"/>
      <w:pPr>
        <w:tabs>
          <w:tab w:val="num" w:pos="3240"/>
        </w:tabs>
        <w:ind w:left="3240" w:hanging="360"/>
      </w:pPr>
      <w:rPr>
        <w:rFonts w:ascii="Courier New" w:hAnsi="Courier New" w:cs="Courier New" w:hint="default"/>
        <w:b w:val="0"/>
        <w:i/>
        <w:caps w:val="0"/>
        <w:smallCaps w:val="0"/>
        <w:strike w:val="0"/>
        <w:dstrike w:val="0"/>
        <w:snapToGrid w:val="0"/>
      </w:rPr>
    </w:lvl>
    <w:lvl w:ilvl="5" w:tplc="040C0005">
      <w:start w:val="1"/>
      <w:numFmt w:val="bullet"/>
      <w:lvlText w:val=""/>
      <w:lvlJc w:val="left"/>
      <w:pPr>
        <w:tabs>
          <w:tab w:val="num" w:pos="3960"/>
        </w:tabs>
        <w:ind w:left="3960" w:hanging="360"/>
      </w:pPr>
      <w:rPr>
        <w:rFonts w:ascii="Wingdings" w:hAnsi="Wingdings" w:cs="Times New Roman" w:hint="default"/>
        <w:b w:val="0"/>
        <w:i/>
        <w:caps w:val="0"/>
        <w:smallCaps w:val="0"/>
        <w:strike w:val="0"/>
        <w:dstrike w:val="0"/>
        <w:snapToGrid w:val="0"/>
      </w:rPr>
    </w:lvl>
    <w:lvl w:ilvl="6" w:tplc="040C0001">
      <w:start w:val="1"/>
      <w:numFmt w:val="bullet"/>
      <w:lvlText w:val=""/>
      <w:lvlJc w:val="left"/>
      <w:pPr>
        <w:tabs>
          <w:tab w:val="num" w:pos="4680"/>
        </w:tabs>
        <w:ind w:left="4680" w:hanging="360"/>
      </w:pPr>
      <w:rPr>
        <w:rFonts w:ascii="Symbol" w:hAnsi="Symbol" w:cs="Times New Roman" w:hint="default"/>
        <w:b/>
        <w:i/>
        <w:caps w:val="0"/>
        <w:smallCaps w:val="0"/>
        <w:strike w:val="0"/>
        <w:dstrike w:val="0"/>
        <w:snapToGrid w:val="0"/>
      </w:rPr>
    </w:lvl>
    <w:lvl w:ilvl="7" w:tplc="040C0003">
      <w:start w:val="1"/>
      <w:numFmt w:val="bullet"/>
      <w:lvlText w:val="o"/>
      <w:lvlJc w:val="left"/>
      <w:pPr>
        <w:tabs>
          <w:tab w:val="num" w:pos="5400"/>
        </w:tabs>
        <w:ind w:left="5400" w:hanging="360"/>
      </w:pPr>
      <w:rPr>
        <w:rFonts w:ascii="Courier New" w:hAnsi="Courier New" w:cs="Courier New" w:hint="default"/>
        <w:b w:val="0"/>
        <w:i/>
        <w:caps w:val="0"/>
        <w:smallCaps w:val="0"/>
        <w:strike w:val="0"/>
        <w:dstrike w:val="0"/>
        <w:snapToGrid w:val="0"/>
      </w:rPr>
    </w:lvl>
    <w:lvl w:ilvl="8" w:tplc="040C0005">
      <w:start w:val="1"/>
      <w:numFmt w:val="bullet"/>
      <w:lvlText w:val=""/>
      <w:lvlJc w:val="left"/>
      <w:pPr>
        <w:tabs>
          <w:tab w:val="num" w:pos="6120"/>
        </w:tabs>
        <w:ind w:left="6120" w:hanging="360"/>
      </w:pPr>
      <w:rPr>
        <w:rFonts w:ascii="Wingdings" w:hAnsi="Wingdings" w:cs="Times New Roman" w:hint="default"/>
        <w:b w:val="0"/>
        <w:i/>
        <w:caps w:val="0"/>
        <w:smallCaps w:val="0"/>
        <w:strike w:val="0"/>
        <w:dstrike w:val="0"/>
        <w:snapToGrid w:val="0"/>
      </w:rPr>
    </w:lvl>
  </w:abstractNum>
  <w:abstractNum w:abstractNumId="19">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00A35F8"/>
    <w:multiLevelType w:val="hybridMultilevel"/>
    <w:tmpl w:val="6E424232"/>
    <w:lvl w:ilvl="0" w:tplc="D706A570">
      <w:start w:val="1"/>
      <w:numFmt w:val="bullet"/>
      <w:lvlText w:val="–"/>
      <w:lvlJc w:val="left"/>
      <w:pPr>
        <w:tabs>
          <w:tab w:val="num" w:pos="360"/>
        </w:tabs>
        <w:ind w:left="360" w:hanging="360"/>
      </w:pPr>
      <w:rPr>
        <w:rFonts w:ascii="Arial Unicode MS" w:hAnsi="Arial Unicode MS" w:hint="default"/>
        <w:b/>
      </w:rPr>
    </w:lvl>
    <w:lvl w:ilvl="1" w:tplc="43046834">
      <w:start w:val="1"/>
      <w:numFmt w:val="bullet"/>
      <w:lvlText w:val="–"/>
      <w:lvlJc w:val="left"/>
      <w:pPr>
        <w:tabs>
          <w:tab w:val="num" w:pos="1080"/>
        </w:tabs>
        <w:ind w:left="1080" w:hanging="360"/>
      </w:pPr>
      <w:rPr>
        <w:rFonts w:ascii="Arial Unicode MS" w:hAnsi="Arial Unicode MS" w:hint="default"/>
      </w:rPr>
    </w:lvl>
    <w:lvl w:ilvl="2" w:tplc="EFA66C2C">
      <w:start w:val="1"/>
      <w:numFmt w:val="bullet"/>
      <w:lvlText w:val="–"/>
      <w:lvlJc w:val="left"/>
      <w:pPr>
        <w:tabs>
          <w:tab w:val="num" w:pos="1800"/>
        </w:tabs>
        <w:ind w:left="1800" w:hanging="360"/>
      </w:pPr>
      <w:rPr>
        <w:rFonts w:ascii="Arial Unicode MS" w:hAnsi="Arial Unicode MS" w:hint="default"/>
      </w:rPr>
    </w:lvl>
    <w:lvl w:ilvl="3" w:tplc="35EAE1AC">
      <w:start w:val="1"/>
      <w:numFmt w:val="bullet"/>
      <w:lvlText w:val="–"/>
      <w:lvlJc w:val="left"/>
      <w:pPr>
        <w:tabs>
          <w:tab w:val="num" w:pos="2520"/>
        </w:tabs>
        <w:ind w:left="2520" w:hanging="360"/>
      </w:pPr>
      <w:rPr>
        <w:rFonts w:ascii="Arial Unicode MS" w:hAnsi="Arial Unicode MS" w:hint="default"/>
      </w:rPr>
    </w:lvl>
    <w:lvl w:ilvl="4" w:tplc="2DC2CCDA" w:tentative="1">
      <w:start w:val="1"/>
      <w:numFmt w:val="bullet"/>
      <w:lvlText w:val="–"/>
      <w:lvlJc w:val="left"/>
      <w:pPr>
        <w:tabs>
          <w:tab w:val="num" w:pos="3240"/>
        </w:tabs>
        <w:ind w:left="3240" w:hanging="360"/>
      </w:pPr>
      <w:rPr>
        <w:rFonts w:ascii="Arial Unicode MS" w:hAnsi="Arial Unicode MS" w:hint="default"/>
      </w:rPr>
    </w:lvl>
    <w:lvl w:ilvl="5" w:tplc="7738021A" w:tentative="1">
      <w:start w:val="1"/>
      <w:numFmt w:val="bullet"/>
      <w:lvlText w:val="–"/>
      <w:lvlJc w:val="left"/>
      <w:pPr>
        <w:tabs>
          <w:tab w:val="num" w:pos="3960"/>
        </w:tabs>
        <w:ind w:left="3960" w:hanging="360"/>
      </w:pPr>
      <w:rPr>
        <w:rFonts w:ascii="Arial Unicode MS" w:hAnsi="Arial Unicode MS" w:hint="default"/>
      </w:rPr>
    </w:lvl>
    <w:lvl w:ilvl="6" w:tplc="F06CDFAC" w:tentative="1">
      <w:start w:val="1"/>
      <w:numFmt w:val="bullet"/>
      <w:lvlText w:val="–"/>
      <w:lvlJc w:val="left"/>
      <w:pPr>
        <w:tabs>
          <w:tab w:val="num" w:pos="4680"/>
        </w:tabs>
        <w:ind w:left="4680" w:hanging="360"/>
      </w:pPr>
      <w:rPr>
        <w:rFonts w:ascii="Arial Unicode MS" w:hAnsi="Arial Unicode MS" w:hint="default"/>
      </w:rPr>
    </w:lvl>
    <w:lvl w:ilvl="7" w:tplc="43FED8BE" w:tentative="1">
      <w:start w:val="1"/>
      <w:numFmt w:val="bullet"/>
      <w:lvlText w:val="–"/>
      <w:lvlJc w:val="left"/>
      <w:pPr>
        <w:tabs>
          <w:tab w:val="num" w:pos="5400"/>
        </w:tabs>
        <w:ind w:left="5400" w:hanging="360"/>
      </w:pPr>
      <w:rPr>
        <w:rFonts w:ascii="Arial Unicode MS" w:hAnsi="Arial Unicode MS" w:hint="default"/>
      </w:rPr>
    </w:lvl>
    <w:lvl w:ilvl="8" w:tplc="84262364" w:tentative="1">
      <w:start w:val="1"/>
      <w:numFmt w:val="bullet"/>
      <w:lvlText w:val="–"/>
      <w:lvlJc w:val="left"/>
      <w:pPr>
        <w:tabs>
          <w:tab w:val="num" w:pos="6120"/>
        </w:tabs>
        <w:ind w:left="6120" w:hanging="360"/>
      </w:pPr>
      <w:rPr>
        <w:rFonts w:ascii="Arial Unicode MS" w:hAnsi="Arial Unicode MS" w:hint="default"/>
      </w:rPr>
    </w:lvl>
  </w:abstractNum>
  <w:abstractNum w:abstractNumId="22">
    <w:nsid w:val="60B963FB"/>
    <w:multiLevelType w:val="hybridMultilevel"/>
    <w:tmpl w:val="44DAC4D0"/>
    <w:lvl w:ilvl="0" w:tplc="429854C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1D079C6"/>
    <w:multiLevelType w:val="hybridMultilevel"/>
    <w:tmpl w:val="DF28C136"/>
    <w:lvl w:ilvl="0" w:tplc="7EDE66D8">
      <w:start w:val="1"/>
      <w:numFmt w:val="bullet"/>
      <w:lvlText w:val="—"/>
      <w:lvlJc w:val="left"/>
      <w:pPr>
        <w:ind w:left="720" w:hanging="360"/>
      </w:pPr>
      <w:rPr>
        <w:rFonts w:ascii="Arial Unicode MS" w:eastAsia="Arial Unicode MS" w:hAnsi="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24"/>
  </w:num>
  <w:num w:numId="3">
    <w:abstractNumId w:val="4"/>
  </w:num>
  <w:num w:numId="4">
    <w:abstractNumId w:val="3"/>
  </w:num>
  <w:num w:numId="5">
    <w:abstractNumId w:val="26"/>
  </w:num>
  <w:num w:numId="6">
    <w:abstractNumId w:val="1"/>
  </w:num>
  <w:num w:numId="7">
    <w:abstractNumId w:val="14"/>
  </w:num>
  <w:num w:numId="8">
    <w:abstractNumId w:val="13"/>
  </w:num>
  <w:num w:numId="9">
    <w:abstractNumId w:val="20"/>
  </w:num>
  <w:num w:numId="10">
    <w:abstractNumId w:val="12"/>
  </w:num>
  <w:num w:numId="11">
    <w:abstractNumId w:val="16"/>
  </w:num>
  <w:num w:numId="12">
    <w:abstractNumId w:val="23"/>
  </w:num>
  <w:num w:numId="13">
    <w:abstractNumId w:val="7"/>
  </w:num>
  <w:num w:numId="14">
    <w:abstractNumId w:val="27"/>
  </w:num>
  <w:num w:numId="15">
    <w:abstractNumId w:val="0"/>
  </w:num>
  <w:num w:numId="16">
    <w:abstractNumId w:val="2"/>
  </w:num>
  <w:num w:numId="17">
    <w:abstractNumId w:val="2"/>
    <w:lvlOverride w:ilvl="0">
      <w:startOverride w:val="1"/>
    </w:lvlOverride>
  </w:num>
  <w:num w:numId="18">
    <w:abstractNumId w:val="19"/>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6"/>
  </w:num>
  <w:num w:numId="23">
    <w:abstractNumId w:val="6"/>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9"/>
  </w:num>
  <w:num w:numId="29">
    <w:abstractNumId w:val="5"/>
  </w:num>
  <w:num w:numId="30">
    <w:abstractNumId w:val="11"/>
  </w:num>
  <w:num w:numId="31">
    <w:abstractNumId w:val="27"/>
    <w:lvlOverride w:ilvl="0">
      <w:startOverride w:val="1"/>
    </w:lvlOverride>
  </w:num>
  <w:num w:numId="32">
    <w:abstractNumId w:val="27"/>
    <w:lvlOverride w:ilvl="0">
      <w:startOverride w:val="1"/>
    </w:lvlOverride>
  </w:num>
  <w:num w:numId="33">
    <w:abstractNumId w:val="21"/>
  </w:num>
  <w:num w:numId="34">
    <w:abstractNumId w:val="18"/>
  </w:num>
  <w:num w:numId="35">
    <w:abstractNumId w:val="27"/>
    <w:lvlOverride w:ilvl="0">
      <w:startOverride w:val="1"/>
    </w:lvlOverride>
  </w:num>
  <w:num w:numId="36">
    <w:abstractNumId w:val="27"/>
    <w:lvlOverride w:ilvl="0">
      <w:startOverride w:val="1"/>
    </w:lvlOverride>
  </w:num>
  <w:num w:numId="37">
    <w:abstractNumId w:val="25"/>
  </w:num>
  <w:num w:numId="38">
    <w:abstractNumId w:val="17"/>
  </w:num>
  <w:num w:numId="39">
    <w:abstractNumId w:val="22"/>
  </w:num>
  <w:num w:numId="40">
    <w:abstractNumId w:val="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BC"/>
    <w:rsid w:val="00002CE0"/>
    <w:rsid w:val="000056D9"/>
    <w:rsid w:val="000066C6"/>
    <w:rsid w:val="000231A5"/>
    <w:rsid w:val="00026AB6"/>
    <w:rsid w:val="00026C92"/>
    <w:rsid w:val="00045861"/>
    <w:rsid w:val="00045BE6"/>
    <w:rsid w:val="00054ECC"/>
    <w:rsid w:val="000607EB"/>
    <w:rsid w:val="00074244"/>
    <w:rsid w:val="00091F71"/>
    <w:rsid w:val="00097788"/>
    <w:rsid w:val="000A0233"/>
    <w:rsid w:val="000B167D"/>
    <w:rsid w:val="000C6866"/>
    <w:rsid w:val="000D290B"/>
    <w:rsid w:val="000D47C6"/>
    <w:rsid w:val="000F21D6"/>
    <w:rsid w:val="000F268B"/>
    <w:rsid w:val="001033F7"/>
    <w:rsid w:val="001111EE"/>
    <w:rsid w:val="00115B0F"/>
    <w:rsid w:val="00156253"/>
    <w:rsid w:val="00157C51"/>
    <w:rsid w:val="001C2840"/>
    <w:rsid w:val="001C653C"/>
    <w:rsid w:val="001E062E"/>
    <w:rsid w:val="0021126C"/>
    <w:rsid w:val="00213963"/>
    <w:rsid w:val="002149BA"/>
    <w:rsid w:val="0021647B"/>
    <w:rsid w:val="0023442C"/>
    <w:rsid w:val="00253B40"/>
    <w:rsid w:val="00276717"/>
    <w:rsid w:val="002B03A8"/>
    <w:rsid w:val="002B608D"/>
    <w:rsid w:val="002D2578"/>
    <w:rsid w:val="002E168A"/>
    <w:rsid w:val="002F5B3A"/>
    <w:rsid w:val="0030234D"/>
    <w:rsid w:val="00302545"/>
    <w:rsid w:val="00324839"/>
    <w:rsid w:val="00360D35"/>
    <w:rsid w:val="003738FB"/>
    <w:rsid w:val="003833FB"/>
    <w:rsid w:val="003938F1"/>
    <w:rsid w:val="00397D95"/>
    <w:rsid w:val="003B25B2"/>
    <w:rsid w:val="003B360B"/>
    <w:rsid w:val="003D400F"/>
    <w:rsid w:val="003D5187"/>
    <w:rsid w:val="003F01C5"/>
    <w:rsid w:val="003F128D"/>
    <w:rsid w:val="003F146F"/>
    <w:rsid w:val="003F2171"/>
    <w:rsid w:val="003F4F49"/>
    <w:rsid w:val="003F5B3C"/>
    <w:rsid w:val="003F6F89"/>
    <w:rsid w:val="00420330"/>
    <w:rsid w:val="00425AA3"/>
    <w:rsid w:val="004361AC"/>
    <w:rsid w:val="0045320D"/>
    <w:rsid w:val="00461AAD"/>
    <w:rsid w:val="00464072"/>
    <w:rsid w:val="004656BD"/>
    <w:rsid w:val="00467B04"/>
    <w:rsid w:val="004810CE"/>
    <w:rsid w:val="00481867"/>
    <w:rsid w:val="00487C9F"/>
    <w:rsid w:val="004975E2"/>
    <w:rsid w:val="004B0158"/>
    <w:rsid w:val="004B0EE2"/>
    <w:rsid w:val="004B7030"/>
    <w:rsid w:val="004C5765"/>
    <w:rsid w:val="004D0C21"/>
    <w:rsid w:val="004D2E99"/>
    <w:rsid w:val="004F6FE3"/>
    <w:rsid w:val="00544CD8"/>
    <w:rsid w:val="00556988"/>
    <w:rsid w:val="005607AE"/>
    <w:rsid w:val="00570C73"/>
    <w:rsid w:val="00571661"/>
    <w:rsid w:val="00581C15"/>
    <w:rsid w:val="00581E82"/>
    <w:rsid w:val="0059677A"/>
    <w:rsid w:val="00597717"/>
    <w:rsid w:val="005A27A3"/>
    <w:rsid w:val="005A4D2E"/>
    <w:rsid w:val="005B1987"/>
    <w:rsid w:val="005B29E9"/>
    <w:rsid w:val="005B7990"/>
    <w:rsid w:val="005C0C85"/>
    <w:rsid w:val="005C50D9"/>
    <w:rsid w:val="005D088A"/>
    <w:rsid w:val="005D76E4"/>
    <w:rsid w:val="005E5DC8"/>
    <w:rsid w:val="005F2448"/>
    <w:rsid w:val="005F3221"/>
    <w:rsid w:val="005F43D1"/>
    <w:rsid w:val="00614422"/>
    <w:rsid w:val="006170D3"/>
    <w:rsid w:val="00630509"/>
    <w:rsid w:val="00642943"/>
    <w:rsid w:val="00644D9E"/>
    <w:rsid w:val="00661B06"/>
    <w:rsid w:val="0066689B"/>
    <w:rsid w:val="006840F1"/>
    <w:rsid w:val="0069582B"/>
    <w:rsid w:val="006A3A13"/>
    <w:rsid w:val="006A6047"/>
    <w:rsid w:val="006B2C6E"/>
    <w:rsid w:val="006B5A0D"/>
    <w:rsid w:val="006C668C"/>
    <w:rsid w:val="006E4970"/>
    <w:rsid w:val="006E6F73"/>
    <w:rsid w:val="006E7351"/>
    <w:rsid w:val="007009A9"/>
    <w:rsid w:val="00704A68"/>
    <w:rsid w:val="00716E21"/>
    <w:rsid w:val="0074214D"/>
    <w:rsid w:val="007539AB"/>
    <w:rsid w:val="007620DF"/>
    <w:rsid w:val="00765BA3"/>
    <w:rsid w:val="00785DBC"/>
    <w:rsid w:val="007D18D7"/>
    <w:rsid w:val="007E180A"/>
    <w:rsid w:val="007E4647"/>
    <w:rsid w:val="007E7FE0"/>
    <w:rsid w:val="007F55D2"/>
    <w:rsid w:val="008057AA"/>
    <w:rsid w:val="00805BFF"/>
    <w:rsid w:val="00836C02"/>
    <w:rsid w:val="00842E53"/>
    <w:rsid w:val="0084674F"/>
    <w:rsid w:val="008508B6"/>
    <w:rsid w:val="0085174B"/>
    <w:rsid w:val="00851891"/>
    <w:rsid w:val="008531A6"/>
    <w:rsid w:val="008565AD"/>
    <w:rsid w:val="0086152D"/>
    <w:rsid w:val="0086447B"/>
    <w:rsid w:val="00864AE1"/>
    <w:rsid w:val="00864CCD"/>
    <w:rsid w:val="008729A4"/>
    <w:rsid w:val="008B008F"/>
    <w:rsid w:val="008C2462"/>
    <w:rsid w:val="008C6603"/>
    <w:rsid w:val="008F0139"/>
    <w:rsid w:val="008F0565"/>
    <w:rsid w:val="008F5282"/>
    <w:rsid w:val="00904592"/>
    <w:rsid w:val="00925DE8"/>
    <w:rsid w:val="00927B74"/>
    <w:rsid w:val="00943528"/>
    <w:rsid w:val="009452F0"/>
    <w:rsid w:val="0096139F"/>
    <w:rsid w:val="009646BA"/>
    <w:rsid w:val="0097503B"/>
    <w:rsid w:val="009803E2"/>
    <w:rsid w:val="00983547"/>
    <w:rsid w:val="00983A0E"/>
    <w:rsid w:val="00985903"/>
    <w:rsid w:val="00987882"/>
    <w:rsid w:val="009A493D"/>
    <w:rsid w:val="009C1EBE"/>
    <w:rsid w:val="009C41F2"/>
    <w:rsid w:val="009E22BE"/>
    <w:rsid w:val="00A07CD9"/>
    <w:rsid w:val="00A11ADB"/>
    <w:rsid w:val="00A13AC8"/>
    <w:rsid w:val="00A23C51"/>
    <w:rsid w:val="00A25DD4"/>
    <w:rsid w:val="00A2648B"/>
    <w:rsid w:val="00A31BCA"/>
    <w:rsid w:val="00A32FC4"/>
    <w:rsid w:val="00A40799"/>
    <w:rsid w:val="00A42BEC"/>
    <w:rsid w:val="00A5283F"/>
    <w:rsid w:val="00A706EF"/>
    <w:rsid w:val="00A83148"/>
    <w:rsid w:val="00A9013D"/>
    <w:rsid w:val="00A97FEE"/>
    <w:rsid w:val="00AA7215"/>
    <w:rsid w:val="00AD1944"/>
    <w:rsid w:val="00AF20BD"/>
    <w:rsid w:val="00AF735E"/>
    <w:rsid w:val="00B00523"/>
    <w:rsid w:val="00B21B9A"/>
    <w:rsid w:val="00B24770"/>
    <w:rsid w:val="00B247A3"/>
    <w:rsid w:val="00B33FE1"/>
    <w:rsid w:val="00B3419E"/>
    <w:rsid w:val="00B67B7F"/>
    <w:rsid w:val="00B72AC8"/>
    <w:rsid w:val="00B903B1"/>
    <w:rsid w:val="00B91628"/>
    <w:rsid w:val="00BB3103"/>
    <w:rsid w:val="00BB3FB1"/>
    <w:rsid w:val="00BC3455"/>
    <w:rsid w:val="00BD7CAC"/>
    <w:rsid w:val="00BF48A7"/>
    <w:rsid w:val="00BF78C9"/>
    <w:rsid w:val="00C01B83"/>
    <w:rsid w:val="00C03872"/>
    <w:rsid w:val="00C105CD"/>
    <w:rsid w:val="00C2350A"/>
    <w:rsid w:val="00C320DC"/>
    <w:rsid w:val="00C430D8"/>
    <w:rsid w:val="00C43FBC"/>
    <w:rsid w:val="00C56D3D"/>
    <w:rsid w:val="00C706F3"/>
    <w:rsid w:val="00C70B59"/>
    <w:rsid w:val="00C8242E"/>
    <w:rsid w:val="00C85A84"/>
    <w:rsid w:val="00CB2939"/>
    <w:rsid w:val="00CB491D"/>
    <w:rsid w:val="00CC2A63"/>
    <w:rsid w:val="00CD3AEE"/>
    <w:rsid w:val="00CF1497"/>
    <w:rsid w:val="00D041FE"/>
    <w:rsid w:val="00D06AC1"/>
    <w:rsid w:val="00D1051C"/>
    <w:rsid w:val="00D14761"/>
    <w:rsid w:val="00D248BB"/>
    <w:rsid w:val="00D2717A"/>
    <w:rsid w:val="00D36CEC"/>
    <w:rsid w:val="00D53E91"/>
    <w:rsid w:val="00D61144"/>
    <w:rsid w:val="00D6196C"/>
    <w:rsid w:val="00D84138"/>
    <w:rsid w:val="00D943D0"/>
    <w:rsid w:val="00DA11F7"/>
    <w:rsid w:val="00DB07C5"/>
    <w:rsid w:val="00DB3B51"/>
    <w:rsid w:val="00DC622C"/>
    <w:rsid w:val="00DD66CD"/>
    <w:rsid w:val="00DE079C"/>
    <w:rsid w:val="00DE4808"/>
    <w:rsid w:val="00E03114"/>
    <w:rsid w:val="00E04A58"/>
    <w:rsid w:val="00E105C7"/>
    <w:rsid w:val="00E156CB"/>
    <w:rsid w:val="00E34CE5"/>
    <w:rsid w:val="00E42146"/>
    <w:rsid w:val="00E4526F"/>
    <w:rsid w:val="00E478CB"/>
    <w:rsid w:val="00E63790"/>
    <w:rsid w:val="00E847C5"/>
    <w:rsid w:val="00E97B47"/>
    <w:rsid w:val="00EA459A"/>
    <w:rsid w:val="00EB2ECF"/>
    <w:rsid w:val="00EB4267"/>
    <w:rsid w:val="00ED1082"/>
    <w:rsid w:val="00ED1DE8"/>
    <w:rsid w:val="00F14B54"/>
    <w:rsid w:val="00F3075A"/>
    <w:rsid w:val="00F4334A"/>
    <w:rsid w:val="00F43D5E"/>
    <w:rsid w:val="00F466B5"/>
    <w:rsid w:val="00F77033"/>
    <w:rsid w:val="00FA367E"/>
    <w:rsid w:val="00FB2126"/>
    <w:rsid w:val="00FC139C"/>
    <w:rsid w:val="00FD344C"/>
    <w:rsid w:val="00FD3945"/>
    <w:rsid w:val="00FD7A20"/>
    <w:rsid w:val="00FE3958"/>
    <w:rsid w:val="00FF440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9D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
    <w:name w:val="Document Map"/>
    <w:basedOn w:val="Normal"/>
    <w:link w:val="ExplorateurdedocumentCar"/>
    <w:uiPriority w:val="99"/>
    <w:semiHidden/>
    <w:unhideWhenUsed/>
    <w:rsid w:val="00DA11F7"/>
  </w:style>
  <w:style w:type="character" w:customStyle="1" w:styleId="ExplorateurdedocumentCar">
    <w:name w:val="Explorateur de document Car"/>
    <w:basedOn w:val="Policepardfaut"/>
    <w:link w:val="Explorateurdedocument"/>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Marquenotebasdepage">
    <w:name w:val="footnote reference"/>
    <w:uiPriority w:val="99"/>
    <w:unhideWhenUsed/>
    <w:rsid w:val="00CD3AEE"/>
    <w:rPr>
      <w:vertAlign w:val="superscript"/>
    </w:rPr>
  </w:style>
  <w:style w:type="paragraph" w:styleId="Paragraphe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suivi">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u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annotation">
    <w:name w:val="annotation reference"/>
    <w:rsid w:val="00597717"/>
    <w:rPr>
      <w:sz w:val="16"/>
      <w:szCs w:val="16"/>
    </w:rPr>
  </w:style>
  <w:style w:type="paragraph" w:styleId="NormalWeb">
    <w:name w:val="Normal (Web)"/>
    <w:basedOn w:val="Normal"/>
    <w:uiPriority w:val="99"/>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Normal1">
    <w:name w:val="Normal1"/>
    <w:rsid w:val="00644D9E"/>
    <w:pPr>
      <w:spacing w:after="160" w:line="259" w:lineRule="auto"/>
    </w:pPr>
    <w:rPr>
      <w:rFonts w:ascii="Calibri" w:eastAsia="Calibri" w:hAnsi="Calibri" w:cs="Calibri"/>
      <w:color w:val="000000"/>
      <w:sz w:val="22"/>
      <w:szCs w:val="22"/>
      <w:lang w:val="en-US"/>
    </w:rPr>
  </w:style>
  <w:style w:type="character" w:customStyle="1" w:styleId="apple-converted-space">
    <w:name w:val="apple-converted-space"/>
    <w:basedOn w:val="Policepardfaut"/>
    <w:rsid w:val="00644D9E"/>
  </w:style>
  <w:style w:type="character" w:customStyle="1" w:styleId="u">
    <w:name w:val="u"/>
    <w:basedOn w:val="Policepardfaut"/>
    <w:rsid w:val="00644D9E"/>
  </w:style>
  <w:style w:type="paragraph" w:styleId="Sansinterligne">
    <w:name w:val="No Spacing"/>
    <w:uiPriority w:val="1"/>
    <w:qFormat/>
    <w:rsid w:val="00644D9E"/>
    <w:pPr>
      <w:jc w:val="both"/>
    </w:pPr>
    <w:rPr>
      <w:rFonts w:ascii="Garamond" w:hAnsi="Garamond" w:cs="Times New Roman"/>
      <w:lang w:val="en-US"/>
    </w:rPr>
  </w:style>
  <w:style w:type="paragraph" w:customStyle="1" w:styleId="ccommunalinea">
    <w:name w:val="ccommunalinea"/>
    <w:basedOn w:val="Normal"/>
    <w:rsid w:val="00FC139C"/>
    <w:pPr>
      <w:spacing w:before="100" w:beforeAutospacing="1" w:after="100" w:afterAutospacing="1"/>
      <w:jc w:val="left"/>
    </w:pPr>
    <w:rPr>
      <w:rFonts w:ascii="Times New Roman" w:eastAsia="Times New Roman" w:hAnsi="Times New Roman"/>
      <w:lang w:val="fr-FR" w:eastAsia="fr-FR"/>
    </w:rPr>
  </w:style>
  <w:style w:type="paragraph" w:customStyle="1" w:styleId="Normal0">
    <w:name w:val="_Normal"/>
    <w:rsid w:val="008C6603"/>
    <w:pPr>
      <w:widowControl w:val="0"/>
      <w:autoSpaceDE w:val="0"/>
      <w:autoSpaceDN w:val="0"/>
      <w:adjustRightInd w:val="0"/>
      <w:spacing w:after="200" w:line="276" w:lineRule="auto"/>
    </w:pPr>
    <w:rPr>
      <w:rFonts w:ascii="Calibri" w:eastAsia="Times New Roman" w:hAnsi="Calibri" w:cs="Times New Roman"/>
      <w:b/>
      <w:bCs/>
      <w:smallCaps/>
      <w:sz w:val="22"/>
      <w:szCs w:val="22"/>
      <w:lang w:eastAsia="fr-FR"/>
    </w:rPr>
  </w:style>
  <w:style w:type="character" w:styleId="Accentuationdiscrte">
    <w:name w:val="Subtle Emphasis"/>
    <w:basedOn w:val="Policepardfaut"/>
    <w:uiPriority w:val="19"/>
    <w:qFormat/>
    <w:rsid w:val="003738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IJ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ip.doctrinalplus.fr.ezproxy.univ-paris1.fr/doc/doctrinal/revue/RDBF?nop=1&amp;search_id=ea49dc7282a6b45d0e86509ad3ac8f37" TargetMode="External"/><Relationship Id="rId4" Type="http://schemas.openxmlformats.org/officeDocument/2006/relationships/hyperlink" Target="http://newip.doctrinalplus.fr.ezproxy.univ-paris1.fr/doc/doctrinal/revue/DRPATRIMOI?nop=1&amp;search_id=435161c4e0d945a5a12e63fea6f6e299" TargetMode="External"/><Relationship Id="rId1" Type="http://schemas.openxmlformats.org/officeDocument/2006/relationships/hyperlink" Target="http://newip.doctrinalplus.fr.ezproxy.univ-paris1.fr/doc/doctrinal/revue/REVSOCIETES?nop=1&amp;search_id=ea49dc7282a6b45d0e86509ad3ac8f37" TargetMode="External"/><Relationship Id="rId2" Type="http://schemas.openxmlformats.org/officeDocument/2006/relationships/hyperlink" Target="http://newip.doctrinalplus.fr.ezproxy.univ-paris1.fr/doc/doctrinal/revue/RDBF?nop=1&amp;search_id=ea49dc7282a6b45d0e86509ad3ac8f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531B2-9977-EB42-95B9-85B4A3FE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2173</Words>
  <Characters>12344</Characters>
  <Application>Microsoft Macintosh Word</Application>
  <DocSecurity>0</DocSecurity>
  <Lines>287</Lines>
  <Paragraphs>143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Paris 1</Company>
  <LinksUpToDate>false</LinksUpToDate>
  <CharactersWithSpaces>14374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Quentin S</cp:lastModifiedBy>
  <cp:revision>106</cp:revision>
  <cp:lastPrinted>2017-05-24T10:41:00Z</cp:lastPrinted>
  <dcterms:created xsi:type="dcterms:W3CDTF">2017-06-02T10:42:00Z</dcterms:created>
  <dcterms:modified xsi:type="dcterms:W3CDTF">2017-06-26T23:21:00Z</dcterms:modified>
</cp:coreProperties>
</file>