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184F4" w14:textId="5D9DD9BF" w:rsidR="0026659D" w:rsidRPr="00FE6C50" w:rsidRDefault="0026659D" w:rsidP="0026659D">
      <w:pPr>
        <w:pStyle w:val="Titre"/>
        <w:rPr>
          <w:bCs/>
          <w:spacing w:val="0"/>
          <w:lang w:val="en-US"/>
        </w:rPr>
      </w:pPr>
      <w:bookmarkStart w:id="0" w:name="_GoBack"/>
      <w:r w:rsidRPr="00FE6C50">
        <w:rPr>
          <w:bCs/>
          <w:spacing w:val="0"/>
          <w:lang w:val="en-US"/>
        </w:rPr>
        <w:t>Go</w:t>
      </w:r>
      <w:r w:rsidR="0066766A" w:rsidRPr="00FE6C50">
        <w:rPr>
          <w:bCs/>
          <w:spacing w:val="0"/>
          <w:lang w:val="en-US"/>
        </w:rPr>
        <w:t xml:space="preserve">uvernement et </w:t>
      </w:r>
      <w:r w:rsidR="001946B9" w:rsidRPr="00FE6C50">
        <w:rPr>
          <w:bCs/>
          <w:spacing w:val="0"/>
          <w:lang w:val="en-US"/>
        </w:rPr>
        <w:t>t</w:t>
      </w:r>
      <w:r w:rsidR="0066766A" w:rsidRPr="00FE6C50">
        <w:rPr>
          <w:bCs/>
          <w:spacing w:val="0"/>
          <w:lang w:val="en-US"/>
        </w:rPr>
        <w:t>ransparence à l</w:t>
      </w:r>
      <w:r w:rsidR="00CB54AA" w:rsidRPr="00FE6C50">
        <w:rPr>
          <w:bCs/>
          <w:spacing w:val="0"/>
          <w:lang w:val="en-US"/>
        </w:rPr>
        <w:t>’</w:t>
      </w:r>
      <w:r w:rsidR="0066766A" w:rsidRPr="00FE6C50">
        <w:rPr>
          <w:bCs/>
          <w:spacing w:val="0"/>
          <w:lang w:val="en-US"/>
        </w:rPr>
        <w:t>è</w:t>
      </w:r>
      <w:r w:rsidRPr="00FE6C50">
        <w:rPr>
          <w:bCs/>
          <w:spacing w:val="0"/>
          <w:lang w:val="en-US"/>
        </w:rPr>
        <w:t xml:space="preserve">re du </w:t>
      </w:r>
      <w:r w:rsidR="001946B9" w:rsidRPr="00FE6C50">
        <w:rPr>
          <w:bCs/>
          <w:spacing w:val="0"/>
          <w:lang w:val="en-US"/>
        </w:rPr>
        <w:t>n</w:t>
      </w:r>
      <w:r w:rsidRPr="00FE6C50">
        <w:rPr>
          <w:bCs/>
          <w:spacing w:val="0"/>
          <w:lang w:val="en-US"/>
        </w:rPr>
        <w:t>umérique</w:t>
      </w:r>
      <w:r w:rsidR="00725D25" w:rsidRPr="00FE6C50">
        <w:rPr>
          <w:bCs/>
          <w:spacing w:val="0"/>
          <w:lang w:val="en-US"/>
        </w:rPr>
        <w:t> </w:t>
      </w:r>
      <w:r w:rsidRPr="00FE6C50">
        <w:rPr>
          <w:bCs/>
          <w:spacing w:val="0"/>
          <w:lang w:val="en-US"/>
        </w:rPr>
        <w:t xml:space="preserve">: </w:t>
      </w:r>
    </w:p>
    <w:p w14:paraId="0F1852A9" w14:textId="55741A87" w:rsidR="000D290B" w:rsidRPr="001946B9" w:rsidRDefault="005539A5" w:rsidP="0026659D">
      <w:pPr>
        <w:pStyle w:val="Titre"/>
        <w:rPr>
          <w:bCs/>
          <w:spacing w:val="0"/>
          <w:lang w:val="fr-FR"/>
        </w:rPr>
      </w:pPr>
      <w:r w:rsidRPr="00FE6C50">
        <w:rPr>
          <w:bCs/>
          <w:spacing w:val="0"/>
          <w:lang w:val="en-US"/>
        </w:rPr>
        <w:t>u</w:t>
      </w:r>
      <w:r w:rsidR="0026659D" w:rsidRPr="00FE6C50">
        <w:rPr>
          <w:bCs/>
          <w:spacing w:val="0"/>
          <w:lang w:val="en-US"/>
        </w:rPr>
        <w:t xml:space="preserve">ne perspective États-Unienne </w:t>
      </w:r>
      <w:bookmarkEnd w:id="0"/>
    </w:p>
    <w:p w14:paraId="119D8564" w14:textId="7249EE2C" w:rsidR="008508B6" w:rsidRPr="0026787B" w:rsidRDefault="00CF5CC4" w:rsidP="00CF5CC4">
      <w:pPr>
        <w:pBdr>
          <w:bottom w:val="single" w:sz="4" w:space="1" w:color="auto"/>
        </w:pBdr>
        <w:spacing w:line="276" w:lineRule="auto"/>
        <w:rPr>
          <w:lang w:val="fr-FR"/>
        </w:rPr>
      </w:pPr>
      <w:r w:rsidRPr="0026787B">
        <w:rPr>
          <w:lang w:val="fr-FR"/>
        </w:rPr>
        <w:t>par</w:t>
      </w:r>
      <w:r w:rsidR="00091640" w:rsidRPr="0026787B">
        <w:rPr>
          <w:lang w:val="fr-FR"/>
        </w:rPr>
        <w:t xml:space="preserve"> </w:t>
      </w:r>
      <w:r w:rsidR="00DF18AE" w:rsidRPr="0026787B">
        <w:rPr>
          <w:b/>
          <w:bCs/>
          <w:lang w:val="fr-FR"/>
        </w:rPr>
        <w:t>Russell L. WEAVER</w:t>
      </w:r>
      <w:r w:rsidR="00DF18AE" w:rsidRPr="0026787B">
        <w:rPr>
          <w:lang w:val="fr-FR"/>
        </w:rPr>
        <w:t xml:space="preserve"> Professeur de droit, Faculté de Droit Louis D. Brandeis, Université de Louisville (Ky, USA)</w:t>
      </w:r>
      <w:r w:rsidR="00DF18AE">
        <w:rPr>
          <w:lang w:val="fr-FR"/>
        </w:rPr>
        <w:t xml:space="preserve"> et </w:t>
      </w:r>
      <w:r w:rsidRPr="0026787B">
        <w:rPr>
          <w:b/>
          <w:bCs/>
          <w:lang w:val="fr-FR"/>
        </w:rPr>
        <w:t>Laurence BOISSIER</w:t>
      </w:r>
      <w:r w:rsidR="00091640" w:rsidRPr="0026787B">
        <w:rPr>
          <w:lang w:val="fr-FR"/>
        </w:rPr>
        <w:t xml:space="preserve">, </w:t>
      </w:r>
      <w:r w:rsidRPr="0026787B">
        <w:rPr>
          <w:lang w:val="fr-FR"/>
        </w:rPr>
        <w:t>Maître de Conférences, Université Pau</w:t>
      </w:r>
      <w:r w:rsidR="00DF18AE">
        <w:rPr>
          <w:lang w:val="fr-FR"/>
        </w:rPr>
        <w:t>l Valery Montpellier (France)</w:t>
      </w:r>
      <w:r w:rsidR="00CF2029" w:rsidRPr="0026787B">
        <w:rPr>
          <w:lang w:val="fr-FR"/>
        </w:rPr>
        <w:t>.</w:t>
      </w:r>
    </w:p>
    <w:p w14:paraId="4AC68944" w14:textId="14E9C9F7" w:rsidR="00CD3AEE" w:rsidRPr="0026787B" w:rsidRDefault="00CD3AEE" w:rsidP="00CF2029">
      <w:pPr>
        <w:pStyle w:val="Titre1"/>
        <w:spacing w:before="0" w:after="0"/>
        <w:rPr>
          <w:color w:val="auto"/>
          <w:lang w:val="fr-FR"/>
        </w:rPr>
      </w:pPr>
    </w:p>
    <w:p w14:paraId="640EA44E" w14:textId="77777777" w:rsidR="00485605" w:rsidRPr="00A4610F" w:rsidRDefault="00485605" w:rsidP="00485605">
      <w:pPr>
        <w:rPr>
          <w:lang w:val="fr-FR"/>
        </w:rPr>
      </w:pPr>
    </w:p>
    <w:p w14:paraId="57AE8289" w14:textId="02808809" w:rsidR="00CF2029" w:rsidRPr="0026787B" w:rsidRDefault="00CF5CC4" w:rsidP="00CF5CC4">
      <w:pPr>
        <w:keepNext/>
        <w:framePr w:dropCap="drop" w:lines="3" w:wrap="around" w:vAnchor="text" w:hAnchor="text"/>
        <w:spacing w:line="810" w:lineRule="exact"/>
        <w:textAlignment w:val="baseline"/>
        <w:rPr>
          <w:rFonts w:cs="Arial"/>
          <w:lang w:val="fr-FR"/>
        </w:rPr>
      </w:pPr>
      <w:r w:rsidRPr="0026787B">
        <w:rPr>
          <w:position w:val="-10"/>
          <w:sz w:val="115"/>
          <w:lang w:val="fr-FR"/>
        </w:rPr>
        <w:t>À</w:t>
      </w:r>
    </w:p>
    <w:p w14:paraId="7434EBF9" w14:textId="0ACF4C93" w:rsidR="00CF5CC4" w:rsidRPr="0026787B" w:rsidRDefault="00CF5CC4" w:rsidP="00CF5CC4">
      <w:pPr>
        <w:rPr>
          <w:lang w:val="fr-FR"/>
        </w:rPr>
      </w:pPr>
      <w:r w:rsidRPr="0026787B">
        <w:rPr>
          <w:lang w:val="fr-FR"/>
        </w:rPr>
        <w:t>l</w:t>
      </w:r>
      <w:r w:rsidR="00CB54AA" w:rsidRPr="0026787B">
        <w:rPr>
          <w:lang w:val="fr-FR"/>
        </w:rPr>
        <w:t>’</w:t>
      </w:r>
      <w:r w:rsidRPr="0026787B">
        <w:rPr>
          <w:lang w:val="fr-FR"/>
        </w:rPr>
        <w:t>aube du siècle des Lumières et sous l</w:t>
      </w:r>
      <w:r w:rsidR="00CB54AA" w:rsidRPr="0026787B">
        <w:rPr>
          <w:lang w:val="fr-FR"/>
        </w:rPr>
        <w:t>’</w:t>
      </w:r>
      <w:r w:rsidRPr="0026787B">
        <w:rPr>
          <w:lang w:val="fr-FR"/>
        </w:rPr>
        <w:t>influence d</w:t>
      </w:r>
      <w:r w:rsidR="00CB54AA" w:rsidRPr="0026787B">
        <w:rPr>
          <w:lang w:val="fr-FR"/>
        </w:rPr>
        <w:t>’</w:t>
      </w:r>
      <w:r w:rsidRPr="0026787B">
        <w:rPr>
          <w:lang w:val="fr-FR"/>
        </w:rPr>
        <w:t>écrivains tels que John Locke</w:t>
      </w:r>
      <w:r w:rsidRPr="0026787B">
        <w:rPr>
          <w:rStyle w:val="Appelnotedebasdep1"/>
          <w:lang w:val="fr-FR"/>
        </w:rPr>
        <w:footnoteReference w:id="1"/>
      </w:r>
      <w:r w:rsidRPr="0026787B">
        <w:rPr>
          <w:lang w:val="fr-FR"/>
        </w:rPr>
        <w:t xml:space="preserve"> et Thomas Paine,</w:t>
      </w:r>
      <w:r w:rsidRPr="0026787B">
        <w:rPr>
          <w:rStyle w:val="Appelnotedebasdep1"/>
          <w:lang w:val="fr-FR"/>
        </w:rPr>
        <w:footnoteReference w:id="2"/>
      </w:r>
      <w:r w:rsidRPr="0026787B">
        <w:rPr>
          <w:lang w:val="fr-FR"/>
        </w:rPr>
        <w:t xml:space="preserve"> le concept du Droit divin</w:t>
      </w:r>
      <w:r w:rsidRPr="0026787B">
        <w:rPr>
          <w:rStyle w:val="Appelnotedebasdep1"/>
          <w:lang w:val="fr-FR"/>
        </w:rPr>
        <w:footnoteReference w:id="3"/>
      </w:r>
      <w:r w:rsidRPr="0026787B">
        <w:rPr>
          <w:lang w:val="fr-FR"/>
        </w:rPr>
        <w:t xml:space="preserve"> est tombé en discrédit,</w:t>
      </w:r>
      <w:r w:rsidRPr="0026787B">
        <w:rPr>
          <w:rStyle w:val="Appelnotedebasdep1"/>
          <w:lang w:val="fr-FR"/>
        </w:rPr>
        <w:footnoteReference w:id="4"/>
      </w:r>
      <w:r w:rsidRPr="0026787B">
        <w:rPr>
          <w:lang w:val="fr-FR"/>
        </w:rPr>
        <w:t xml:space="preserve"> faisant place à l</w:t>
      </w:r>
      <w:r w:rsidR="00CB54AA" w:rsidRPr="0026787B">
        <w:rPr>
          <w:lang w:val="fr-FR"/>
        </w:rPr>
        <w:t>’</w:t>
      </w:r>
      <w:r w:rsidRPr="0026787B">
        <w:rPr>
          <w:lang w:val="fr-FR"/>
        </w:rPr>
        <w:t>apparition d</w:t>
      </w:r>
      <w:r w:rsidR="00CB54AA" w:rsidRPr="0026787B">
        <w:rPr>
          <w:lang w:val="fr-FR"/>
        </w:rPr>
        <w:t>’</w:t>
      </w:r>
      <w:r w:rsidRPr="0026787B">
        <w:rPr>
          <w:lang w:val="fr-FR"/>
        </w:rPr>
        <w:t>une toute nouvelle conception du gouvernement et de l</w:t>
      </w:r>
      <w:r w:rsidR="00CB54AA" w:rsidRPr="0026787B">
        <w:rPr>
          <w:lang w:val="fr-FR"/>
        </w:rPr>
        <w:t>’</w:t>
      </w:r>
      <w:r w:rsidRPr="0026787B">
        <w:rPr>
          <w:lang w:val="fr-FR"/>
        </w:rPr>
        <w:t xml:space="preserve">autorité gouvernementale. Aux </w:t>
      </w:r>
      <w:r w:rsidR="00725D25">
        <w:rPr>
          <w:lang w:val="fr-FR"/>
        </w:rPr>
        <w:t>É</w:t>
      </w:r>
      <w:r w:rsidRPr="0026787B">
        <w:rPr>
          <w:lang w:val="fr-FR"/>
        </w:rPr>
        <w:t>tats-Unis, cette nouvelle conception a trouvé sa place dans la Déclaration d</w:t>
      </w:r>
      <w:r w:rsidR="00CB54AA" w:rsidRPr="0026787B">
        <w:rPr>
          <w:lang w:val="fr-FR"/>
        </w:rPr>
        <w:t>’</w:t>
      </w:r>
      <w:r w:rsidRPr="0026787B">
        <w:rPr>
          <w:lang w:val="fr-FR"/>
        </w:rPr>
        <w:t>Indépendance américaine</w:t>
      </w:r>
      <w:r w:rsidRPr="0026787B">
        <w:rPr>
          <w:rStyle w:val="Appelnotedebasdep1"/>
          <w:lang w:val="fr-FR"/>
        </w:rPr>
        <w:footnoteReference w:id="5"/>
      </w:r>
      <w:r w:rsidRPr="0026787B">
        <w:rPr>
          <w:lang w:val="fr-FR"/>
        </w:rPr>
        <w:t xml:space="preserve"> qui rejetait de manière implicite le concept du Droit divin et proclamait la suprématie des principes démocratiques</w:t>
      </w:r>
      <w:r w:rsidR="00725D25">
        <w:rPr>
          <w:lang w:val="fr-FR"/>
        </w:rPr>
        <w:t> </w:t>
      </w:r>
      <w:r w:rsidRPr="0026787B">
        <w:rPr>
          <w:lang w:val="fr-FR"/>
        </w:rPr>
        <w:t xml:space="preserve">: </w:t>
      </w:r>
      <w:r w:rsidR="00725D25">
        <w:rPr>
          <w:rFonts w:eastAsia="SimSun"/>
          <w:lang w:val="fr-FR"/>
        </w:rPr>
        <w:t>« </w:t>
      </w:r>
      <w:r w:rsidRPr="0026787B">
        <w:rPr>
          <w:lang w:val="fr-FR"/>
        </w:rPr>
        <w:t>Les gouvernements sont institués parmi les Hommes, et leurs justes pouvoirs émanent du consentement des gouvernés.</w:t>
      </w:r>
      <w:r w:rsidR="00725D25">
        <w:rPr>
          <w:rFonts w:eastAsia="SimSun"/>
          <w:lang w:val="fr-FR"/>
        </w:rPr>
        <w:t> »</w:t>
      </w:r>
      <w:r w:rsidRPr="0026787B">
        <w:rPr>
          <w:rStyle w:val="Appelnotedebasdep"/>
          <w:rFonts w:eastAsia="SimSun"/>
          <w:lang w:val="fr-FR"/>
        </w:rPr>
        <w:footnoteReference w:id="6"/>
      </w:r>
    </w:p>
    <w:p w14:paraId="2D4D9D4E" w14:textId="7D3FCF4D" w:rsidR="00CF5CC4" w:rsidRPr="0026787B" w:rsidRDefault="00CF5CC4" w:rsidP="00CF5CC4">
      <w:pPr>
        <w:rPr>
          <w:lang w:val="fr-FR"/>
        </w:rPr>
      </w:pPr>
      <w:r w:rsidRPr="0026787B">
        <w:rPr>
          <w:lang w:val="fr-FR"/>
        </w:rPr>
        <w:t xml:space="preserve">Au fil des siècles, la gouvernance démocratique et le concept du </w:t>
      </w:r>
      <w:r w:rsidR="00725D25">
        <w:rPr>
          <w:rFonts w:eastAsia="SimSun"/>
          <w:lang w:val="fr-FR"/>
        </w:rPr>
        <w:t>«</w:t>
      </w:r>
      <w:r w:rsidRPr="0026787B">
        <w:rPr>
          <w:rFonts w:eastAsia="SimSun"/>
          <w:lang w:val="fr-FR"/>
        </w:rPr>
        <w:t> </w:t>
      </w:r>
      <w:r w:rsidRPr="0026787B">
        <w:rPr>
          <w:lang w:val="fr-FR"/>
        </w:rPr>
        <w:t>consentement des gouvernés</w:t>
      </w:r>
      <w:r w:rsidRPr="0026787B">
        <w:rPr>
          <w:rFonts w:eastAsia="SimSun"/>
          <w:lang w:val="fr-FR"/>
        </w:rPr>
        <w:t> </w:t>
      </w:r>
      <w:r w:rsidR="00725D25">
        <w:rPr>
          <w:rFonts w:eastAsia="SimSun"/>
          <w:lang w:val="fr-FR"/>
        </w:rPr>
        <w:t>»</w:t>
      </w:r>
      <w:r w:rsidRPr="0026787B">
        <w:rPr>
          <w:lang w:val="fr-FR"/>
        </w:rPr>
        <w:t xml:space="preserve"> en sont venus à incorporer deux éléments essentiels. Premièrement, une société libre et démocratique doit inclure et doit reposer sur le droit à la liberté d</w:t>
      </w:r>
      <w:r w:rsidR="00CB54AA" w:rsidRPr="0026787B">
        <w:rPr>
          <w:lang w:val="fr-FR"/>
        </w:rPr>
        <w:t>’</w:t>
      </w:r>
      <w:r w:rsidRPr="0026787B">
        <w:rPr>
          <w:lang w:val="fr-FR"/>
        </w:rPr>
        <w:t>expression.</w:t>
      </w:r>
      <w:r w:rsidRPr="0026787B">
        <w:rPr>
          <w:rStyle w:val="Appelnotedebasdep1"/>
          <w:lang w:val="fr-FR"/>
        </w:rPr>
        <w:footnoteReference w:id="7"/>
      </w:r>
      <w:r w:rsidRPr="0026787B">
        <w:rPr>
          <w:lang w:val="fr-FR"/>
        </w:rPr>
        <w:t xml:space="preserve"> Si tous les citoyens sont libres de décider pour qui voter et quelles idées ou propositions soutenir et promouvoir</w:t>
      </w:r>
      <w:r w:rsidR="00725D25">
        <w:rPr>
          <w:lang w:val="fr-FR"/>
        </w:rPr>
        <w:t> </w:t>
      </w:r>
      <w:r w:rsidRPr="0026787B">
        <w:rPr>
          <w:lang w:val="fr-FR"/>
        </w:rPr>
        <w:t>; alors ils doivent être libres de faire circuler leurs idées entre eux, et d</w:t>
      </w:r>
      <w:r w:rsidR="00CB54AA" w:rsidRPr="0026787B">
        <w:rPr>
          <w:lang w:val="fr-FR"/>
        </w:rPr>
        <w:t>’</w:t>
      </w:r>
      <w:r w:rsidRPr="0026787B">
        <w:rPr>
          <w:lang w:val="fr-FR"/>
        </w:rPr>
        <w:t>essayer de persuader les autres citoyens de leurs points de vue et de leurs candidats préférés.</w:t>
      </w:r>
      <w:r w:rsidRPr="0026787B">
        <w:rPr>
          <w:rStyle w:val="Appelnotedebasdep1"/>
          <w:lang w:val="fr-FR"/>
        </w:rPr>
        <w:footnoteReference w:id="8"/>
      </w:r>
      <w:r w:rsidRPr="0026787B">
        <w:rPr>
          <w:lang w:val="fr-FR"/>
        </w:rPr>
        <w:t xml:space="preserve"> Deuxièmement, le peuple doit avoir accès à l</w:t>
      </w:r>
      <w:r w:rsidR="00CB54AA" w:rsidRPr="0026787B">
        <w:rPr>
          <w:lang w:val="fr-FR"/>
        </w:rPr>
        <w:t>’</w:t>
      </w:r>
      <w:r w:rsidRPr="0026787B">
        <w:rPr>
          <w:lang w:val="fr-FR"/>
        </w:rPr>
        <w:t>information relative au fonctionnement du gouvernement. Il est en effet difficile de participer utilement au processus démocratique ou bien de demander aux institutions démocratiques d</w:t>
      </w:r>
      <w:r w:rsidR="00CB54AA" w:rsidRPr="0026787B">
        <w:rPr>
          <w:lang w:val="fr-FR"/>
        </w:rPr>
        <w:t>’</w:t>
      </w:r>
      <w:r w:rsidRPr="0026787B">
        <w:rPr>
          <w:lang w:val="fr-FR"/>
        </w:rPr>
        <w:t xml:space="preserve">être responsables lorsque le gouvernement dissimule des </w:t>
      </w:r>
      <w:r w:rsidRPr="0026787B">
        <w:rPr>
          <w:lang w:val="fr-FR"/>
        </w:rPr>
        <w:lastRenderedPageBreak/>
        <w:t>informations et prive le public d</w:t>
      </w:r>
      <w:r w:rsidR="00CB54AA" w:rsidRPr="0026787B">
        <w:rPr>
          <w:lang w:val="fr-FR"/>
        </w:rPr>
        <w:t>’</w:t>
      </w:r>
      <w:r w:rsidRPr="0026787B">
        <w:rPr>
          <w:lang w:val="fr-FR"/>
        </w:rPr>
        <w:t>informations sur son fonctionnement.</w:t>
      </w:r>
      <w:r w:rsidRPr="0026787B">
        <w:rPr>
          <w:rStyle w:val="Appelnotedebasdep"/>
          <w:lang w:val="fr-FR"/>
        </w:rPr>
        <w:footnoteReference w:id="9"/>
      </w:r>
    </w:p>
    <w:p w14:paraId="102DBF92" w14:textId="36C446E0" w:rsidR="00CF5CC4" w:rsidRPr="0026787B" w:rsidRDefault="00CF5CC4" w:rsidP="0026659D">
      <w:pPr>
        <w:rPr>
          <w:lang w:val="fr-FR"/>
        </w:rPr>
      </w:pPr>
      <w:r w:rsidRPr="0026787B">
        <w:rPr>
          <w:lang w:val="fr-FR"/>
        </w:rPr>
        <w:t>Cet article évalue brièvement l</w:t>
      </w:r>
      <w:r w:rsidR="00CB54AA" w:rsidRPr="0026787B">
        <w:rPr>
          <w:lang w:val="fr-FR"/>
        </w:rPr>
        <w:t>’</w:t>
      </w:r>
      <w:r w:rsidRPr="0026787B">
        <w:rPr>
          <w:lang w:val="fr-FR"/>
        </w:rPr>
        <w:t xml:space="preserve">état de la transparence aux </w:t>
      </w:r>
      <w:r w:rsidR="00725D25">
        <w:rPr>
          <w:lang w:val="fr-FR"/>
        </w:rPr>
        <w:t>É</w:t>
      </w:r>
      <w:r w:rsidRPr="0026787B">
        <w:rPr>
          <w:lang w:val="fr-FR"/>
        </w:rPr>
        <w:t>tats-Unis à l</w:t>
      </w:r>
      <w:r w:rsidR="00CB54AA" w:rsidRPr="0026787B">
        <w:rPr>
          <w:lang w:val="fr-FR"/>
        </w:rPr>
        <w:t>’</w:t>
      </w:r>
      <w:r w:rsidRPr="0026787B">
        <w:rPr>
          <w:lang w:val="fr-FR"/>
        </w:rPr>
        <w:t>ère du numérique. Il débute en retraçant l</w:t>
      </w:r>
      <w:r w:rsidR="00CB54AA" w:rsidRPr="0026787B">
        <w:rPr>
          <w:lang w:val="fr-FR"/>
        </w:rPr>
        <w:t>’</w:t>
      </w:r>
      <w:r w:rsidRPr="0026787B">
        <w:rPr>
          <w:lang w:val="fr-FR"/>
        </w:rPr>
        <w:t>évolution des principes de transparence au siècle dernier, en s</w:t>
      </w:r>
      <w:r w:rsidR="00CB54AA" w:rsidRPr="0026787B">
        <w:rPr>
          <w:lang w:val="fr-FR"/>
        </w:rPr>
        <w:t>’</w:t>
      </w:r>
      <w:r w:rsidRPr="0026787B">
        <w:rPr>
          <w:lang w:val="fr-FR"/>
        </w:rPr>
        <w:t xml:space="preserve">attachant principalement à une perspective qui, de fait, ne connait pas le numérique. Comme nous allons le voir, tandis que les </w:t>
      </w:r>
      <w:r w:rsidR="00725D25">
        <w:rPr>
          <w:lang w:val="fr-FR"/>
        </w:rPr>
        <w:t>É</w:t>
      </w:r>
      <w:r w:rsidRPr="0026787B">
        <w:rPr>
          <w:lang w:val="fr-FR"/>
        </w:rPr>
        <w:t>tats-Unis ont accompli de grandes avancées vers la mise en place d</w:t>
      </w:r>
      <w:r w:rsidR="00CB54AA" w:rsidRPr="0026787B">
        <w:rPr>
          <w:lang w:val="fr-FR"/>
        </w:rPr>
        <w:t>’</w:t>
      </w:r>
      <w:r w:rsidRPr="0026787B">
        <w:rPr>
          <w:lang w:val="fr-FR"/>
        </w:rPr>
        <w:t>un gouvernement plus ouvert, plus enclin à la transparence, et plus en accord avec les idéaux démocratiques, le gouvernement américain reste toutefois très éloigné de ce</w:t>
      </w:r>
      <w:r w:rsidR="0026659D" w:rsidRPr="0026787B">
        <w:rPr>
          <w:lang w:val="fr-FR"/>
        </w:rPr>
        <w:t xml:space="preserve">t idéal à de multiples égards. </w:t>
      </w:r>
    </w:p>
    <w:p w14:paraId="154B40F8" w14:textId="09AE5C76" w:rsidR="00CF5CC4" w:rsidRPr="00C91AD1" w:rsidRDefault="0026659D" w:rsidP="0066766A">
      <w:pPr>
        <w:pStyle w:val="Titre1"/>
        <w:jc w:val="both"/>
        <w:rPr>
          <w:lang w:val="fr-FR"/>
        </w:rPr>
      </w:pPr>
      <w:r w:rsidRPr="00C91AD1">
        <w:rPr>
          <w:lang w:val="fr-FR"/>
        </w:rPr>
        <w:t>§</w:t>
      </w:r>
      <w:r w:rsidR="00725D25" w:rsidRPr="00C91AD1">
        <w:rPr>
          <w:lang w:val="fr-FR"/>
        </w:rPr>
        <w:t> </w:t>
      </w:r>
      <w:r w:rsidRPr="00C91AD1">
        <w:rPr>
          <w:lang w:val="fr-FR"/>
        </w:rPr>
        <w:t>1 –</w:t>
      </w:r>
      <w:r w:rsidR="00CF5CC4" w:rsidRPr="00C91AD1">
        <w:rPr>
          <w:lang w:val="fr-FR"/>
        </w:rPr>
        <w:t xml:space="preserve"> </w:t>
      </w:r>
      <w:r w:rsidRPr="00C91AD1">
        <w:rPr>
          <w:lang w:val="fr-FR"/>
        </w:rPr>
        <w:t xml:space="preserve">Les efforts des </w:t>
      </w:r>
      <w:r w:rsidR="00C91AD1" w:rsidRPr="00C91AD1">
        <w:rPr>
          <w:lang w:val="fr-FR"/>
        </w:rPr>
        <w:t>États-Unis</w:t>
      </w:r>
      <w:r w:rsidRPr="00C91AD1">
        <w:rPr>
          <w:lang w:val="fr-FR"/>
        </w:rPr>
        <w:t xml:space="preserve"> pour </w:t>
      </w:r>
      <w:r w:rsidR="00C91AD1">
        <w:rPr>
          <w:lang w:val="fr-FR"/>
        </w:rPr>
        <w:t>p</w:t>
      </w:r>
      <w:r w:rsidRPr="00C91AD1">
        <w:rPr>
          <w:lang w:val="fr-FR"/>
        </w:rPr>
        <w:t xml:space="preserve">romouvoir </w:t>
      </w:r>
      <w:r w:rsidR="00C91AD1">
        <w:rPr>
          <w:lang w:val="fr-FR"/>
        </w:rPr>
        <w:t>l</w:t>
      </w:r>
      <w:r w:rsidR="00CB54AA" w:rsidRPr="00C91AD1">
        <w:rPr>
          <w:lang w:val="fr-FR"/>
        </w:rPr>
        <w:t>’</w:t>
      </w:r>
      <w:r w:rsidR="00C91AD1">
        <w:rPr>
          <w:lang w:val="fr-FR"/>
        </w:rPr>
        <w:t>o</w:t>
      </w:r>
      <w:r w:rsidR="002A53E6" w:rsidRPr="00C91AD1">
        <w:rPr>
          <w:lang w:val="fr-FR"/>
        </w:rPr>
        <w:t xml:space="preserve">uverture et la </w:t>
      </w:r>
      <w:r w:rsidR="00C91AD1">
        <w:rPr>
          <w:lang w:val="fr-FR"/>
        </w:rPr>
        <w:t>t</w:t>
      </w:r>
      <w:r w:rsidR="002A53E6" w:rsidRPr="00C91AD1">
        <w:rPr>
          <w:lang w:val="fr-FR"/>
        </w:rPr>
        <w:t xml:space="preserve">ransparence du </w:t>
      </w:r>
      <w:r w:rsidR="00C91AD1">
        <w:rPr>
          <w:lang w:val="fr-FR"/>
        </w:rPr>
        <w:t>g</w:t>
      </w:r>
      <w:r w:rsidRPr="00C91AD1">
        <w:rPr>
          <w:lang w:val="fr-FR"/>
        </w:rPr>
        <w:t xml:space="preserve">ouvernement </w:t>
      </w:r>
      <w:r w:rsidR="00026722" w:rsidRPr="00C91AD1">
        <w:rPr>
          <w:lang w:val="fr-FR"/>
        </w:rPr>
        <w:t xml:space="preserve">: </w:t>
      </w:r>
      <w:r w:rsidR="00547F65" w:rsidRPr="00C91AD1">
        <w:rPr>
          <w:lang w:val="fr-FR"/>
        </w:rPr>
        <w:t xml:space="preserve"> </w:t>
      </w:r>
      <w:r w:rsidR="00C91AD1">
        <w:rPr>
          <w:lang w:val="fr-FR"/>
        </w:rPr>
        <w:t>a</w:t>
      </w:r>
      <w:r w:rsidR="00026722" w:rsidRPr="00C91AD1">
        <w:rPr>
          <w:lang w:val="fr-FR"/>
        </w:rPr>
        <w:t>vancées et échecs</w:t>
      </w:r>
    </w:p>
    <w:p w14:paraId="6D2ECFFF" w14:textId="23354DFF" w:rsidR="00CF5CC4" w:rsidRPr="0026787B" w:rsidRDefault="00CF5CC4" w:rsidP="00026722">
      <w:pPr>
        <w:rPr>
          <w:lang w:val="fr-FR"/>
        </w:rPr>
      </w:pPr>
      <w:r w:rsidRPr="0026787B">
        <w:rPr>
          <w:lang w:val="fr-FR"/>
        </w:rPr>
        <w:t>Nul ne peut contester que le gouvernement américain a progressivement adopté une attitude favorable à plus d</w:t>
      </w:r>
      <w:r w:rsidR="00CB54AA" w:rsidRPr="0026787B">
        <w:rPr>
          <w:lang w:val="fr-FR"/>
        </w:rPr>
        <w:t>’</w:t>
      </w:r>
      <w:r w:rsidRPr="0026787B">
        <w:rPr>
          <w:lang w:val="fr-FR"/>
        </w:rPr>
        <w:t>ouverture et plus de transparence qu</w:t>
      </w:r>
      <w:r w:rsidR="00CB54AA" w:rsidRPr="0026787B">
        <w:rPr>
          <w:lang w:val="fr-FR"/>
        </w:rPr>
        <w:t>’</w:t>
      </w:r>
      <w:r w:rsidRPr="0026787B">
        <w:rPr>
          <w:lang w:val="fr-FR"/>
        </w:rPr>
        <w:t>au siècle dernier. Avant les années</w:t>
      </w:r>
      <w:r w:rsidR="00725D25">
        <w:rPr>
          <w:lang w:val="fr-FR"/>
        </w:rPr>
        <w:t> </w:t>
      </w:r>
      <w:r w:rsidRPr="0026787B">
        <w:rPr>
          <w:lang w:val="fr-FR"/>
        </w:rPr>
        <w:t xml:space="preserve">1930 ni le gouvernement fédéral ni les gouvernements des </w:t>
      </w:r>
      <w:r w:rsidR="00355BE8">
        <w:rPr>
          <w:lang w:val="fr-FR"/>
        </w:rPr>
        <w:t>É</w:t>
      </w:r>
      <w:r w:rsidRPr="0026787B">
        <w:rPr>
          <w:lang w:val="fr-FR"/>
        </w:rPr>
        <w:t>tats fédérés n</w:t>
      </w:r>
      <w:r w:rsidR="00CB54AA" w:rsidRPr="0026787B">
        <w:rPr>
          <w:lang w:val="fr-FR"/>
        </w:rPr>
        <w:t>’</w:t>
      </w:r>
      <w:r w:rsidRPr="0026787B">
        <w:rPr>
          <w:lang w:val="fr-FR"/>
        </w:rPr>
        <w:t>étaient soumis à grand-chose en termes d</w:t>
      </w:r>
      <w:r w:rsidR="00CB54AA" w:rsidRPr="0026787B">
        <w:rPr>
          <w:lang w:val="fr-FR"/>
        </w:rPr>
        <w:t>’</w:t>
      </w:r>
      <w:r w:rsidRPr="0026787B">
        <w:rPr>
          <w:lang w:val="fr-FR"/>
        </w:rPr>
        <w:t xml:space="preserve">obligations de transparence. Par exemple, bien que la constitution américaine prévoie que </w:t>
      </w:r>
      <w:r w:rsidR="00725D25">
        <w:rPr>
          <w:rFonts w:eastAsia="SimSun"/>
          <w:lang w:val="fr-FR"/>
        </w:rPr>
        <w:t>«</w:t>
      </w:r>
      <w:r w:rsidR="00026722" w:rsidRPr="0026787B">
        <w:rPr>
          <w:rFonts w:eastAsia="SimSun"/>
          <w:lang w:val="fr-FR"/>
        </w:rPr>
        <w:t> </w:t>
      </w:r>
      <w:r w:rsidRPr="0026787B">
        <w:rPr>
          <w:lang w:val="fr-FR"/>
        </w:rPr>
        <w:t xml:space="preserve">les ambassadeurs, les autres ministres publics et les consuls, les juges de la cour suprême, et tous les autres officiers des </w:t>
      </w:r>
      <w:r w:rsidR="00725D25">
        <w:rPr>
          <w:lang w:val="fr-FR"/>
        </w:rPr>
        <w:t>É</w:t>
      </w:r>
      <w:r w:rsidRPr="0026787B">
        <w:rPr>
          <w:lang w:val="fr-FR"/>
        </w:rPr>
        <w:t>tats-Unis dont les nominations ne sont pas prévues dans ce texte</w:t>
      </w:r>
      <w:r w:rsidR="00026722" w:rsidRPr="0026787B">
        <w:rPr>
          <w:rFonts w:eastAsia="SimSun"/>
          <w:lang w:val="fr-FR"/>
        </w:rPr>
        <w:t> </w:t>
      </w:r>
      <w:r w:rsidR="00725D25">
        <w:rPr>
          <w:rFonts w:eastAsia="SimSun"/>
          <w:lang w:val="fr-FR"/>
        </w:rPr>
        <w:t>»</w:t>
      </w:r>
      <w:r w:rsidRPr="0026787B">
        <w:rPr>
          <w:lang w:val="fr-FR"/>
        </w:rPr>
        <w:t xml:space="preserve"> ne puissent être confirmés que sur </w:t>
      </w:r>
      <w:r w:rsidR="00725D25">
        <w:rPr>
          <w:rFonts w:eastAsia="SimSun"/>
          <w:lang w:val="fr-FR"/>
        </w:rPr>
        <w:t>«</w:t>
      </w:r>
      <w:r w:rsidR="0026659D" w:rsidRPr="0026787B">
        <w:rPr>
          <w:rFonts w:eastAsia="SimSun"/>
          <w:lang w:val="fr-FR"/>
        </w:rPr>
        <w:t> </w:t>
      </w:r>
      <w:r w:rsidRPr="0026787B">
        <w:rPr>
          <w:lang w:val="fr-FR"/>
        </w:rPr>
        <w:t>l</w:t>
      </w:r>
      <w:r w:rsidR="00CB54AA" w:rsidRPr="0026787B">
        <w:rPr>
          <w:lang w:val="fr-FR"/>
        </w:rPr>
        <w:t>’</w:t>
      </w:r>
      <w:r w:rsidRPr="0026787B">
        <w:rPr>
          <w:lang w:val="fr-FR"/>
        </w:rPr>
        <w:t>avis et le consentement</w:t>
      </w:r>
      <w:r w:rsidR="0026659D" w:rsidRPr="0026787B">
        <w:rPr>
          <w:rFonts w:eastAsia="SimSun"/>
          <w:lang w:val="fr-FR"/>
        </w:rPr>
        <w:t> </w:t>
      </w:r>
      <w:r w:rsidR="00725D25">
        <w:rPr>
          <w:rFonts w:eastAsia="SimSun"/>
          <w:lang w:val="fr-FR"/>
        </w:rPr>
        <w:t>»</w:t>
      </w:r>
      <w:r w:rsidRPr="0026787B">
        <w:rPr>
          <w:lang w:val="fr-FR"/>
        </w:rPr>
        <w:t xml:space="preserve"> du </w:t>
      </w:r>
      <w:r w:rsidR="00355BE8">
        <w:rPr>
          <w:lang w:val="fr-FR"/>
        </w:rPr>
        <w:t>S</w:t>
      </w:r>
      <w:r w:rsidRPr="0026787B">
        <w:rPr>
          <w:lang w:val="fr-FR"/>
        </w:rPr>
        <w:t>énat américain,</w:t>
      </w:r>
      <w:r w:rsidRPr="0026787B">
        <w:rPr>
          <w:rStyle w:val="Appelnotedebasdep1"/>
          <w:lang w:val="fr-FR"/>
        </w:rPr>
        <w:footnoteReference w:id="10"/>
      </w:r>
      <w:r w:rsidRPr="0026787B">
        <w:rPr>
          <w:lang w:val="fr-FR"/>
        </w:rPr>
        <w:t xml:space="preserve"> durant la plus grande partie de l</w:t>
      </w:r>
      <w:r w:rsidR="00CB54AA" w:rsidRPr="0026787B">
        <w:rPr>
          <w:lang w:val="fr-FR"/>
        </w:rPr>
        <w:t>’</w:t>
      </w:r>
      <w:r w:rsidRPr="0026787B">
        <w:rPr>
          <w:lang w:val="fr-FR"/>
        </w:rPr>
        <w:t xml:space="preserve">histoire des </w:t>
      </w:r>
      <w:r w:rsidR="00725D25">
        <w:rPr>
          <w:lang w:val="fr-FR"/>
        </w:rPr>
        <w:t>É</w:t>
      </w:r>
      <w:r w:rsidRPr="0026787B">
        <w:rPr>
          <w:lang w:val="fr-FR"/>
        </w:rPr>
        <w:t>tats-Unis, ces auditions de confirmation ont été fermées au public.</w:t>
      </w:r>
      <w:r w:rsidRPr="0026787B">
        <w:rPr>
          <w:rStyle w:val="Appelnotedebasdep1"/>
          <w:lang w:val="fr-FR"/>
        </w:rPr>
        <w:footnoteReference w:id="11"/>
      </w:r>
      <w:r w:rsidRPr="0026787B">
        <w:rPr>
          <w:lang w:val="fr-FR"/>
        </w:rPr>
        <w:t xml:space="preserve"> Par ailleurs, avant les années</w:t>
      </w:r>
      <w:r w:rsidR="00725D25">
        <w:rPr>
          <w:lang w:val="fr-FR"/>
        </w:rPr>
        <w:t> </w:t>
      </w:r>
      <w:r w:rsidRPr="0026787B">
        <w:rPr>
          <w:lang w:val="fr-FR"/>
        </w:rPr>
        <w:t>1930, les agences de l</w:t>
      </w:r>
      <w:r w:rsidR="00CB54AA" w:rsidRPr="0026787B">
        <w:rPr>
          <w:lang w:val="fr-FR"/>
        </w:rPr>
        <w:t>’</w:t>
      </w:r>
      <w:r w:rsidRPr="0026787B">
        <w:rPr>
          <w:lang w:val="fr-FR"/>
        </w:rPr>
        <w:t>Administration n</w:t>
      </w:r>
      <w:r w:rsidR="00CB54AA" w:rsidRPr="0026787B">
        <w:rPr>
          <w:lang w:val="fr-FR"/>
        </w:rPr>
        <w:t>’</w:t>
      </w:r>
      <w:r w:rsidRPr="0026787B">
        <w:rPr>
          <w:lang w:val="fr-FR"/>
        </w:rPr>
        <w:t>avaient pas l</w:t>
      </w:r>
      <w:r w:rsidR="00CB54AA" w:rsidRPr="0026787B">
        <w:rPr>
          <w:lang w:val="fr-FR"/>
        </w:rPr>
        <w:t>’</w:t>
      </w:r>
      <w:r w:rsidRPr="0026787B">
        <w:rPr>
          <w:lang w:val="fr-FR"/>
        </w:rPr>
        <w:t>obligation de publier les règles et règlements qu</w:t>
      </w:r>
      <w:r w:rsidR="00CB54AA" w:rsidRPr="0026787B">
        <w:rPr>
          <w:lang w:val="fr-FR"/>
        </w:rPr>
        <w:t>’</w:t>
      </w:r>
      <w:r w:rsidRPr="0026787B">
        <w:rPr>
          <w:lang w:val="fr-FR"/>
        </w:rPr>
        <w:t>elles proposaient, encore moins leurs avis et leurs choix sur les mesures prises</w:t>
      </w:r>
      <w:r w:rsidR="00725D25">
        <w:rPr>
          <w:lang w:val="fr-FR"/>
        </w:rPr>
        <w:t> </w:t>
      </w:r>
      <w:r w:rsidRPr="0026787B">
        <w:rPr>
          <w:lang w:val="fr-FR"/>
        </w:rPr>
        <w:t>; ce qui avait pour résultat une absence totale d</w:t>
      </w:r>
      <w:r w:rsidR="00CB54AA" w:rsidRPr="0026787B">
        <w:rPr>
          <w:lang w:val="fr-FR"/>
        </w:rPr>
        <w:t>’</w:t>
      </w:r>
      <w:r w:rsidRPr="0026787B">
        <w:rPr>
          <w:lang w:val="fr-FR"/>
        </w:rPr>
        <w:t>ouverture et de transparence dans le processus de promulgation de ces règles et règlements.</w:t>
      </w:r>
      <w:r w:rsidRPr="0026787B">
        <w:rPr>
          <w:rStyle w:val="Appelnotedebasdep1"/>
          <w:lang w:val="fr-FR"/>
        </w:rPr>
        <w:footnoteReference w:id="12"/>
      </w:r>
      <w:r w:rsidRPr="0026787B">
        <w:rPr>
          <w:lang w:val="fr-FR"/>
        </w:rPr>
        <w:t xml:space="preserve"> La méthode classique consistait pour les agences à tout simplement annoncer leurs souhaits de réglementation</w:t>
      </w:r>
      <w:r w:rsidR="0026659D" w:rsidRPr="0026787B">
        <w:rPr>
          <w:lang w:val="fr-FR"/>
        </w:rPr>
        <w:t>, et ensuite à les concrétiser.</w:t>
      </w:r>
    </w:p>
    <w:p w14:paraId="4E87DAFD" w14:textId="54F49D00" w:rsidR="00CF5CC4" w:rsidRPr="0026787B" w:rsidRDefault="00CF5CC4" w:rsidP="0026659D">
      <w:pPr>
        <w:rPr>
          <w:lang w:val="fr-FR"/>
        </w:rPr>
      </w:pPr>
      <w:r w:rsidRPr="0026787B">
        <w:rPr>
          <w:lang w:val="fr-FR"/>
        </w:rPr>
        <w:t xml:space="preserve">Il faut attendre le début du </w:t>
      </w:r>
      <w:r w:rsidR="00355BE8">
        <w:rPr>
          <w:lang w:val="fr-FR"/>
        </w:rPr>
        <w:t>XX</w:t>
      </w:r>
      <w:r w:rsidRPr="00355BE8">
        <w:rPr>
          <w:vertAlign w:val="superscript"/>
          <w:lang w:val="fr-FR"/>
        </w:rPr>
        <w:t>e</w:t>
      </w:r>
      <w:r w:rsidRPr="0026787B">
        <w:rPr>
          <w:lang w:val="fr-FR"/>
        </w:rPr>
        <w:t xml:space="preserve"> siècle pour que le gouvernement américain réalise des avancées significatives dans les domaines de l</w:t>
      </w:r>
      <w:r w:rsidR="00CB54AA" w:rsidRPr="0026787B">
        <w:rPr>
          <w:lang w:val="fr-FR"/>
        </w:rPr>
        <w:t>’</w:t>
      </w:r>
      <w:r w:rsidRPr="0026787B">
        <w:rPr>
          <w:lang w:val="fr-FR"/>
        </w:rPr>
        <w:t xml:space="preserve">ouverture et de la transparence. Le mouvement a démarré avec les procédures du </w:t>
      </w:r>
      <w:r w:rsidR="00725D25">
        <w:rPr>
          <w:lang w:val="fr-FR"/>
        </w:rPr>
        <w:t>S</w:t>
      </w:r>
      <w:r w:rsidRPr="0026787B">
        <w:rPr>
          <w:lang w:val="fr-FR"/>
        </w:rPr>
        <w:t>énat américain d</w:t>
      </w:r>
      <w:r w:rsidR="00CB54AA" w:rsidRPr="0026787B">
        <w:rPr>
          <w:lang w:val="fr-FR"/>
        </w:rPr>
        <w:t>’</w:t>
      </w:r>
      <w:r w:rsidRPr="0026787B">
        <w:rPr>
          <w:lang w:val="fr-FR"/>
        </w:rPr>
        <w:t xml:space="preserve">examen des candidatures à la </w:t>
      </w:r>
      <w:r w:rsidR="0063539C">
        <w:rPr>
          <w:lang w:val="fr-FR"/>
        </w:rPr>
        <w:t>C</w:t>
      </w:r>
      <w:r w:rsidRPr="0026787B">
        <w:rPr>
          <w:lang w:val="fr-FR"/>
        </w:rPr>
        <w:t xml:space="preserve">our suprême fédérale. Il y a environ un siècle, le </w:t>
      </w:r>
      <w:r w:rsidR="00725D25">
        <w:rPr>
          <w:lang w:val="fr-FR"/>
        </w:rPr>
        <w:t>S</w:t>
      </w:r>
      <w:r w:rsidRPr="0026787B">
        <w:rPr>
          <w:lang w:val="fr-FR"/>
        </w:rPr>
        <w:t xml:space="preserve">énat américain a rompu avec la tradition et a commencé à tenir des auditions </w:t>
      </w:r>
      <w:r w:rsidRPr="0026787B">
        <w:rPr>
          <w:lang w:val="fr-FR"/>
        </w:rPr>
        <w:lastRenderedPageBreak/>
        <w:t>publiques de confirmation de nomination.</w:t>
      </w:r>
      <w:r w:rsidRPr="0026787B">
        <w:rPr>
          <w:rStyle w:val="Appelnotedebasdep1"/>
          <w:lang w:val="fr-FR"/>
        </w:rPr>
        <w:footnoteReference w:id="13"/>
      </w:r>
      <w:r w:rsidRPr="0026787B">
        <w:rPr>
          <w:lang w:val="fr-FR"/>
        </w:rPr>
        <w:t xml:space="preserve"> Le résultat de cette ouverture est très intéressant et instructif. Alors que de nombreuses auditions de confirmation étaient contestées avant la période d</w:t>
      </w:r>
      <w:r w:rsidR="00CB54AA" w:rsidRPr="0026787B">
        <w:rPr>
          <w:lang w:val="fr-FR"/>
        </w:rPr>
        <w:t>’</w:t>
      </w:r>
      <w:r w:rsidRPr="0026787B">
        <w:rPr>
          <w:lang w:val="fr-FR"/>
        </w:rPr>
        <w:t>ouverture de ces auditions au public, une fois la procédure devenue publique,</w:t>
      </w:r>
      <w:r w:rsidRPr="0026787B">
        <w:rPr>
          <w:rStyle w:val="Appelnotedebasdep1"/>
          <w:lang w:val="fr-FR"/>
        </w:rPr>
        <w:footnoteReference w:id="14"/>
      </w:r>
      <w:r w:rsidRPr="0026787B">
        <w:rPr>
          <w:lang w:val="fr-FR"/>
        </w:rPr>
        <w:t xml:space="preserve"> il s</w:t>
      </w:r>
      <w:r w:rsidR="00CB54AA" w:rsidRPr="0026787B">
        <w:rPr>
          <w:lang w:val="fr-FR"/>
        </w:rPr>
        <w:t>’</w:t>
      </w:r>
      <w:r w:rsidRPr="0026787B">
        <w:rPr>
          <w:lang w:val="fr-FR"/>
        </w:rPr>
        <w:t>en est suivi un plus vif intérêt et un plus grand engagement de la part des citoyens. Ceux-ci en effet se sont progressivement rendu compte que les prises de position des candidats jouent un rôle important dans la manière dont ils rendent leurs décisions. C</w:t>
      </w:r>
      <w:r w:rsidR="00CB54AA" w:rsidRPr="0026787B">
        <w:rPr>
          <w:lang w:val="fr-FR"/>
        </w:rPr>
        <w:t>’</w:t>
      </w:r>
      <w:r w:rsidRPr="0026787B">
        <w:rPr>
          <w:lang w:val="fr-FR"/>
        </w:rPr>
        <w:t>est ainsi que peu à peu le public s</w:t>
      </w:r>
      <w:r w:rsidR="00CB54AA" w:rsidRPr="0026787B">
        <w:rPr>
          <w:lang w:val="fr-FR"/>
        </w:rPr>
        <w:t>’</w:t>
      </w:r>
      <w:r w:rsidRPr="0026787B">
        <w:rPr>
          <w:lang w:val="fr-FR"/>
        </w:rPr>
        <w:t>est galvanisé à la fois pour et contre certains candidats à la nomination.</w:t>
      </w:r>
      <w:r w:rsidRPr="0026787B">
        <w:rPr>
          <w:rStyle w:val="Appelnotedebasdep1"/>
          <w:lang w:val="fr-FR"/>
        </w:rPr>
        <w:footnoteReference w:id="15"/>
      </w:r>
      <w:r w:rsidRPr="0026787B">
        <w:rPr>
          <w:lang w:val="fr-FR"/>
        </w:rPr>
        <w:t xml:space="preserve"> </w:t>
      </w:r>
      <w:r w:rsidR="0063539C">
        <w:rPr>
          <w:lang w:val="fr-FR"/>
        </w:rPr>
        <w:t>À</w:t>
      </w:r>
      <w:r w:rsidRPr="0026787B">
        <w:rPr>
          <w:lang w:val="fr-FR"/>
        </w:rPr>
        <w:t xml:space="preserve"> titre d</w:t>
      </w:r>
      <w:r w:rsidR="00CB54AA" w:rsidRPr="0026787B">
        <w:rPr>
          <w:lang w:val="fr-FR"/>
        </w:rPr>
        <w:t>’</w:t>
      </w:r>
      <w:r w:rsidRPr="0026787B">
        <w:rPr>
          <w:lang w:val="fr-FR"/>
        </w:rPr>
        <w:t>exemple, quand Robert Bork s</w:t>
      </w:r>
      <w:r w:rsidR="00CB54AA" w:rsidRPr="0026787B">
        <w:rPr>
          <w:lang w:val="fr-FR"/>
        </w:rPr>
        <w:t>’</w:t>
      </w:r>
      <w:r w:rsidRPr="0026787B">
        <w:rPr>
          <w:lang w:val="fr-FR"/>
        </w:rPr>
        <w:t xml:space="preserve">est présenté devant le </w:t>
      </w:r>
      <w:r w:rsidR="0036624B">
        <w:rPr>
          <w:lang w:val="fr-FR"/>
        </w:rPr>
        <w:t>S</w:t>
      </w:r>
      <w:r w:rsidRPr="0026787B">
        <w:rPr>
          <w:lang w:val="fr-FR"/>
        </w:rPr>
        <w:t xml:space="preserve">énat dans le cadre de sa candidature à la </w:t>
      </w:r>
      <w:r w:rsidR="0063539C">
        <w:rPr>
          <w:lang w:val="fr-FR"/>
        </w:rPr>
        <w:t>C</w:t>
      </w:r>
      <w:r w:rsidRPr="0026787B">
        <w:rPr>
          <w:lang w:val="fr-FR"/>
        </w:rPr>
        <w:t>our suprême fédérale,</w:t>
      </w:r>
      <w:r w:rsidRPr="0026787B">
        <w:rPr>
          <w:rStyle w:val="Caractresdenotedebasdepage"/>
          <w:lang w:val="fr-FR"/>
        </w:rPr>
        <w:footnoteReference w:id="16"/>
      </w:r>
      <w:r w:rsidRPr="0026787B">
        <w:rPr>
          <w:rStyle w:val="Appelnotedebasdep1"/>
          <w:lang w:val="fr-FR"/>
        </w:rPr>
        <w:t xml:space="preserve"> </w:t>
      </w:r>
      <w:r w:rsidRPr="0026787B">
        <w:rPr>
          <w:lang w:val="fr-FR"/>
        </w:rPr>
        <w:t>le public a procédé à un examen minutieux et rigoureux de la candidature en se concentrant sur des questions hautement controversées.</w:t>
      </w:r>
      <w:r w:rsidRPr="0026787B">
        <w:rPr>
          <w:rStyle w:val="Appelnotedebasdep1"/>
          <w:lang w:val="fr-FR"/>
        </w:rPr>
        <w:footnoteReference w:id="17"/>
      </w:r>
      <w:r w:rsidRPr="0026787B">
        <w:rPr>
          <w:lang w:val="fr-FR"/>
        </w:rPr>
        <w:t xml:space="preserve"> Cela a stimulé des groupes d</w:t>
      </w:r>
      <w:r w:rsidR="00CB54AA" w:rsidRPr="0026787B">
        <w:rPr>
          <w:lang w:val="fr-FR"/>
        </w:rPr>
        <w:t>’</w:t>
      </w:r>
      <w:r w:rsidRPr="0026787B">
        <w:rPr>
          <w:lang w:val="fr-FR"/>
        </w:rPr>
        <w:t>intérêt ou associations qui se sont activement opposés à cette candidature</w:t>
      </w:r>
      <w:r w:rsidRPr="0026787B">
        <w:rPr>
          <w:rStyle w:val="Appelnotedebasdep1"/>
          <w:lang w:val="fr-FR"/>
        </w:rPr>
        <w:footnoteReference w:id="18"/>
      </w:r>
      <w:r w:rsidRPr="0026787B">
        <w:rPr>
          <w:lang w:val="fr-FR"/>
        </w:rPr>
        <w:t xml:space="preserve"> en protestant vivement contre les positions de Robert Bork sur les questions des droits civiques</w:t>
      </w:r>
      <w:r w:rsidRPr="0026787B">
        <w:rPr>
          <w:rStyle w:val="Appelnotedebasdep1"/>
          <w:lang w:val="fr-FR"/>
        </w:rPr>
        <w:footnoteReference w:id="19"/>
      </w:r>
      <w:r w:rsidRPr="0026787B">
        <w:rPr>
          <w:lang w:val="fr-FR"/>
        </w:rPr>
        <w:t xml:space="preserve"> et de l</w:t>
      </w:r>
      <w:r w:rsidR="00CB54AA" w:rsidRPr="0026787B">
        <w:rPr>
          <w:lang w:val="fr-FR"/>
        </w:rPr>
        <w:t>’</w:t>
      </w:r>
      <w:r w:rsidRPr="0026787B">
        <w:rPr>
          <w:lang w:val="fr-FR"/>
        </w:rPr>
        <w:t>avortement.</w:t>
      </w:r>
      <w:r w:rsidRPr="0026787B">
        <w:rPr>
          <w:rStyle w:val="Appelnotedebasdep1"/>
          <w:lang w:val="fr-FR"/>
        </w:rPr>
        <w:footnoteReference w:id="20"/>
      </w:r>
      <w:r w:rsidRPr="0026787B">
        <w:rPr>
          <w:lang w:val="fr-FR"/>
        </w:rPr>
        <w:t xml:space="preserve"> De nos jours, les tentatives pour influencer le </w:t>
      </w:r>
      <w:r w:rsidR="0036624B">
        <w:rPr>
          <w:lang w:val="fr-FR"/>
        </w:rPr>
        <w:t>S</w:t>
      </w:r>
      <w:r w:rsidRPr="0026787B">
        <w:rPr>
          <w:lang w:val="fr-FR"/>
        </w:rPr>
        <w:t>énat dans sa procédure de confirmation d</w:t>
      </w:r>
      <w:r w:rsidR="00CB54AA" w:rsidRPr="0026787B">
        <w:rPr>
          <w:lang w:val="fr-FR"/>
        </w:rPr>
        <w:t>’</w:t>
      </w:r>
      <w:r w:rsidRPr="0026787B">
        <w:rPr>
          <w:lang w:val="fr-FR"/>
        </w:rPr>
        <w:t>un candidat sont devenues monnaie courante avec des groupes d</w:t>
      </w:r>
      <w:r w:rsidR="00CB54AA" w:rsidRPr="0026787B">
        <w:rPr>
          <w:lang w:val="fr-FR"/>
        </w:rPr>
        <w:t>’</w:t>
      </w:r>
      <w:r w:rsidRPr="0026787B">
        <w:rPr>
          <w:lang w:val="fr-FR"/>
        </w:rPr>
        <w:t xml:space="preserve">intérêt qui se mobilisent de manière systématique pour peser sur le </w:t>
      </w:r>
      <w:r w:rsidR="0036624B">
        <w:rPr>
          <w:lang w:val="fr-FR"/>
        </w:rPr>
        <w:t>S</w:t>
      </w:r>
      <w:r w:rsidRPr="0026787B">
        <w:rPr>
          <w:lang w:val="fr-FR"/>
        </w:rPr>
        <w:t>énat et entraver les nominations.</w:t>
      </w:r>
      <w:r w:rsidRPr="0026787B">
        <w:rPr>
          <w:rStyle w:val="Appelnotedebasdep"/>
          <w:lang w:val="fr-FR"/>
        </w:rPr>
        <w:footnoteReference w:id="21"/>
      </w:r>
    </w:p>
    <w:p w14:paraId="3A686DF6" w14:textId="459ECAD5" w:rsidR="00CF5CC4" w:rsidRPr="0026787B" w:rsidRDefault="00CF5CC4" w:rsidP="00C93596">
      <w:pPr>
        <w:rPr>
          <w:lang w:val="fr-FR"/>
        </w:rPr>
      </w:pPr>
      <w:r w:rsidRPr="0026787B">
        <w:rPr>
          <w:lang w:val="fr-FR"/>
        </w:rPr>
        <w:t>L</w:t>
      </w:r>
      <w:r w:rsidR="00CB54AA" w:rsidRPr="0026787B">
        <w:rPr>
          <w:lang w:val="fr-FR"/>
        </w:rPr>
        <w:t>’</w:t>
      </w:r>
      <w:r w:rsidRPr="0026787B">
        <w:rPr>
          <w:lang w:val="fr-FR"/>
        </w:rPr>
        <w:t>avancée majeure suivante concernant l</w:t>
      </w:r>
      <w:r w:rsidR="00CB54AA" w:rsidRPr="0026787B">
        <w:rPr>
          <w:lang w:val="fr-FR"/>
        </w:rPr>
        <w:t>’</w:t>
      </w:r>
      <w:r w:rsidRPr="0026787B">
        <w:rPr>
          <w:lang w:val="fr-FR"/>
        </w:rPr>
        <w:t>ouverture et la transparence a eu lieu dans les années</w:t>
      </w:r>
      <w:r w:rsidR="00725D25">
        <w:rPr>
          <w:lang w:val="fr-FR"/>
        </w:rPr>
        <w:t> </w:t>
      </w:r>
      <w:r w:rsidRPr="0026787B">
        <w:rPr>
          <w:lang w:val="fr-FR"/>
        </w:rPr>
        <w:t xml:space="preserve">1930 lorsque le Congrès américain a adopté sa première grande loi fédérale sur </w:t>
      </w:r>
      <w:r w:rsidR="00725D25">
        <w:rPr>
          <w:rFonts w:eastAsia="SimSun"/>
          <w:lang w:val="fr-FR"/>
        </w:rPr>
        <w:t>«</w:t>
      </w:r>
      <w:r w:rsidR="001946B9">
        <w:rPr>
          <w:rFonts w:ascii="Times New Roman" w:eastAsia="SimSun" w:hAnsi="Times New Roman"/>
          <w:lang w:val="fr-FR"/>
        </w:rPr>
        <w:t> </w:t>
      </w:r>
      <w:r w:rsidRPr="0026787B">
        <w:rPr>
          <w:lang w:val="fr-FR"/>
        </w:rPr>
        <w:t>l</w:t>
      </w:r>
      <w:r w:rsidR="00CB54AA" w:rsidRPr="0026787B">
        <w:rPr>
          <w:lang w:val="fr-FR"/>
        </w:rPr>
        <w:t>’</w:t>
      </w:r>
      <w:r w:rsidRPr="0026787B">
        <w:rPr>
          <w:lang w:val="fr-FR"/>
        </w:rPr>
        <w:t>ouverture du gouvernement</w:t>
      </w:r>
      <w:r w:rsidR="001946B9">
        <w:rPr>
          <w:rFonts w:ascii="Times New Roman" w:eastAsia="SimSun" w:hAnsi="Times New Roman"/>
          <w:lang w:val="fr-FR"/>
        </w:rPr>
        <w:t> </w:t>
      </w:r>
      <w:r w:rsidR="00725D25">
        <w:rPr>
          <w:rFonts w:eastAsia="SimSun"/>
          <w:lang w:val="fr-FR"/>
        </w:rPr>
        <w:t>»</w:t>
      </w:r>
      <w:r w:rsidRPr="0026787B">
        <w:rPr>
          <w:lang w:val="fr-FR"/>
        </w:rPr>
        <w:t>, intitulée Administrative Procedure Act (APA)</w:t>
      </w:r>
      <w:r w:rsidR="001946B9">
        <w:rPr>
          <w:rFonts w:ascii="Times New Roman" w:hAnsi="Times New Roman"/>
          <w:lang w:val="fr-FR"/>
        </w:rPr>
        <w:t> </w:t>
      </w:r>
      <w:r w:rsidRPr="0026787B">
        <w:rPr>
          <w:lang w:val="fr-FR"/>
        </w:rPr>
        <w:t>;</w:t>
      </w:r>
      <w:r w:rsidRPr="0026787B">
        <w:rPr>
          <w:rStyle w:val="Appelnotedebasdep1"/>
          <w:lang w:val="fr-FR"/>
        </w:rPr>
        <w:footnoteReference w:id="22"/>
      </w:r>
      <w:r w:rsidRPr="0026787B">
        <w:rPr>
          <w:lang w:val="fr-FR"/>
        </w:rPr>
        <w:t xml:space="preserve"> en d</w:t>
      </w:r>
      <w:r w:rsidR="00CB54AA" w:rsidRPr="0026787B">
        <w:rPr>
          <w:lang w:val="fr-FR"/>
        </w:rPr>
        <w:t>’</w:t>
      </w:r>
      <w:r w:rsidRPr="0026787B">
        <w:rPr>
          <w:lang w:val="fr-FR"/>
        </w:rPr>
        <w:t>autres termes, loi sur la procédure administrative. Avant l</w:t>
      </w:r>
      <w:r w:rsidR="00CB54AA" w:rsidRPr="0026787B">
        <w:rPr>
          <w:lang w:val="fr-FR"/>
        </w:rPr>
        <w:t>’</w:t>
      </w:r>
      <w:r w:rsidRPr="0026787B">
        <w:rPr>
          <w:lang w:val="fr-FR"/>
        </w:rPr>
        <w:t>adoption de cette loi, les agences étaient libres de procéder de façon unilatérale à des modifications réglementaires sans consultation ni du public ni des entités réglementées.</w:t>
      </w:r>
      <w:r w:rsidRPr="0026787B">
        <w:rPr>
          <w:rStyle w:val="Appelnotedebasdep1"/>
          <w:lang w:val="fr-FR"/>
        </w:rPr>
        <w:footnoteReference w:id="23"/>
      </w:r>
      <w:r w:rsidRPr="0026787B">
        <w:rPr>
          <w:lang w:val="fr-FR"/>
        </w:rPr>
        <w:t xml:space="preserve"> La loi APA a modifié le statu quo en instituant deux procédures différentes pour créer les règles</w:t>
      </w:r>
      <w:r w:rsidR="00725D25">
        <w:rPr>
          <w:lang w:val="fr-FR"/>
        </w:rPr>
        <w:t> </w:t>
      </w:r>
      <w:r w:rsidRPr="0026787B">
        <w:rPr>
          <w:lang w:val="fr-FR"/>
        </w:rPr>
        <w:t xml:space="preserve">: une procédure </w:t>
      </w:r>
      <w:r w:rsidR="00725D25">
        <w:rPr>
          <w:rFonts w:eastAsia="SimSun"/>
          <w:lang w:val="fr-FR"/>
        </w:rPr>
        <w:t>«</w:t>
      </w:r>
      <w:r w:rsidR="001946B9">
        <w:rPr>
          <w:rFonts w:ascii="Times New Roman" w:eastAsia="SimSun" w:hAnsi="Times New Roman"/>
          <w:lang w:val="fr-FR"/>
        </w:rPr>
        <w:t> </w:t>
      </w:r>
      <w:r w:rsidRPr="0026787B">
        <w:rPr>
          <w:lang w:val="fr-FR"/>
        </w:rPr>
        <w:t>formelle</w:t>
      </w:r>
      <w:r w:rsidR="001946B9">
        <w:rPr>
          <w:rFonts w:ascii="Times New Roman" w:eastAsia="SimSun" w:hAnsi="Times New Roman"/>
          <w:lang w:val="fr-FR"/>
        </w:rPr>
        <w:t> </w:t>
      </w:r>
      <w:r w:rsidR="00725D25">
        <w:rPr>
          <w:rFonts w:eastAsia="SimSun"/>
          <w:lang w:val="fr-FR"/>
        </w:rPr>
        <w:t>»</w:t>
      </w:r>
      <w:r w:rsidRPr="0026787B">
        <w:rPr>
          <w:lang w:val="fr-FR"/>
        </w:rPr>
        <w:t xml:space="preserve"> et une procédure </w:t>
      </w:r>
      <w:r w:rsidR="00725D25">
        <w:rPr>
          <w:rFonts w:eastAsia="SimSun"/>
          <w:lang w:val="fr-FR"/>
        </w:rPr>
        <w:t>«</w:t>
      </w:r>
      <w:r w:rsidR="001946B9">
        <w:rPr>
          <w:rFonts w:ascii="Times New Roman" w:eastAsia="SimSun" w:hAnsi="Times New Roman"/>
          <w:lang w:val="fr-FR"/>
        </w:rPr>
        <w:t> </w:t>
      </w:r>
      <w:r w:rsidR="0026659D" w:rsidRPr="0026787B">
        <w:rPr>
          <w:rFonts w:eastAsia="SimSun"/>
          <w:lang w:val="fr-FR"/>
        </w:rPr>
        <w:t>i</w:t>
      </w:r>
      <w:r w:rsidRPr="0026787B">
        <w:rPr>
          <w:lang w:val="fr-FR"/>
        </w:rPr>
        <w:t>nformelle.</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24"/>
      </w:r>
      <w:r w:rsidRPr="0026787B">
        <w:rPr>
          <w:lang w:val="fr-FR"/>
        </w:rPr>
        <w:t xml:space="preserve"> La loi imposait que les règles formelles, également dénommées </w:t>
      </w:r>
      <w:r w:rsidR="00725D25">
        <w:rPr>
          <w:rFonts w:eastAsia="SimSun"/>
          <w:lang w:val="fr-FR"/>
        </w:rPr>
        <w:t>«</w:t>
      </w:r>
      <w:r w:rsidR="001946B9">
        <w:rPr>
          <w:rFonts w:ascii="Times New Roman" w:eastAsia="SimSun" w:hAnsi="Times New Roman"/>
          <w:lang w:val="fr-FR"/>
        </w:rPr>
        <w:t> </w:t>
      </w:r>
      <w:r w:rsidRPr="0026787B">
        <w:rPr>
          <w:lang w:val="fr-FR"/>
        </w:rPr>
        <w:t>règles décisionnelles</w:t>
      </w:r>
      <w:r w:rsidR="001946B9">
        <w:rPr>
          <w:rFonts w:ascii="Times New Roman" w:eastAsia="SimSun" w:hAnsi="Times New Roman"/>
          <w:lang w:val="fr-FR"/>
        </w:rPr>
        <w:t> </w:t>
      </w:r>
      <w:r w:rsidR="00725D25">
        <w:rPr>
          <w:rFonts w:eastAsia="SimSun"/>
          <w:lang w:val="fr-FR"/>
        </w:rPr>
        <w:t>»</w:t>
      </w:r>
      <w:r w:rsidRPr="0026787B">
        <w:rPr>
          <w:lang w:val="fr-FR"/>
        </w:rPr>
        <w:t xml:space="preserve">, soient créées selon des procédures </w:t>
      </w:r>
      <w:r w:rsidR="00725D25">
        <w:rPr>
          <w:rFonts w:eastAsia="SimSun"/>
          <w:lang w:val="fr-FR"/>
        </w:rPr>
        <w:t>«</w:t>
      </w:r>
      <w:r w:rsidR="001946B9">
        <w:rPr>
          <w:rFonts w:ascii="Times New Roman" w:eastAsia="SimSun" w:hAnsi="Times New Roman"/>
          <w:lang w:val="fr-FR"/>
        </w:rPr>
        <w:t> </w:t>
      </w:r>
      <w:r w:rsidRPr="0026787B">
        <w:rPr>
          <w:lang w:val="fr-FR"/>
        </w:rPr>
        <w:t>de type-procès</w:t>
      </w:r>
      <w:r w:rsidR="001946B9">
        <w:rPr>
          <w:rFonts w:ascii="Times New Roman" w:eastAsia="SimSun" w:hAnsi="Times New Roman"/>
          <w:lang w:val="fr-FR"/>
        </w:rPr>
        <w:t> </w:t>
      </w:r>
      <w:r w:rsidR="00725D25">
        <w:rPr>
          <w:rFonts w:eastAsia="SimSun"/>
          <w:lang w:val="fr-FR"/>
        </w:rPr>
        <w:t>»</w:t>
      </w:r>
      <w:r w:rsidRPr="0026787B">
        <w:rPr>
          <w:lang w:val="fr-FR"/>
        </w:rPr>
        <w:t xml:space="preserve"> qui prévoyaient des citations, des productions de preuves, et des procédures classiques utilisées dans </w:t>
      </w:r>
      <w:r w:rsidRPr="0026787B">
        <w:rPr>
          <w:lang w:val="fr-FR"/>
        </w:rPr>
        <w:lastRenderedPageBreak/>
        <w:t>les procès.</w:t>
      </w:r>
      <w:r w:rsidRPr="0026787B">
        <w:rPr>
          <w:rStyle w:val="Appelnotedebasdep1"/>
          <w:lang w:val="fr-FR"/>
        </w:rPr>
        <w:footnoteReference w:id="25"/>
      </w:r>
      <w:r w:rsidRPr="0026787B">
        <w:rPr>
          <w:lang w:val="fr-FR"/>
        </w:rPr>
        <w:t xml:space="preserve"> Même si ces procédures formelles continuent d</w:t>
      </w:r>
      <w:r w:rsidR="00CB54AA" w:rsidRPr="0026787B">
        <w:rPr>
          <w:lang w:val="fr-FR"/>
        </w:rPr>
        <w:t>’</w:t>
      </w:r>
      <w:r w:rsidRPr="0026787B">
        <w:rPr>
          <w:lang w:val="fr-FR"/>
        </w:rPr>
        <w:t>exister, très peu d</w:t>
      </w:r>
      <w:r w:rsidR="00CB54AA" w:rsidRPr="0026787B">
        <w:rPr>
          <w:lang w:val="fr-FR"/>
        </w:rPr>
        <w:t>’</w:t>
      </w:r>
      <w:r w:rsidRPr="0026787B">
        <w:rPr>
          <w:lang w:val="fr-FR"/>
        </w:rPr>
        <w:t>agences y recourent étant donné la difficulté et l</w:t>
      </w:r>
      <w:r w:rsidR="00CB54AA" w:rsidRPr="0026787B">
        <w:rPr>
          <w:lang w:val="fr-FR"/>
        </w:rPr>
        <w:t>’</w:t>
      </w:r>
      <w:r w:rsidRPr="0026787B">
        <w:rPr>
          <w:lang w:val="fr-FR"/>
        </w:rPr>
        <w:t xml:space="preserve">extrême lourdeur de leur mise en </w:t>
      </w:r>
      <w:r w:rsidR="00725D25">
        <w:rPr>
          <w:lang w:val="fr-FR"/>
        </w:rPr>
        <w:t>œ</w:t>
      </w:r>
      <w:r w:rsidRPr="0026787B">
        <w:rPr>
          <w:lang w:val="fr-FR"/>
        </w:rPr>
        <w:t>uvre. Aujourd</w:t>
      </w:r>
      <w:r w:rsidR="00CB54AA" w:rsidRPr="0026787B">
        <w:rPr>
          <w:lang w:val="fr-FR"/>
        </w:rPr>
        <w:t>’</w:t>
      </w:r>
      <w:r w:rsidRPr="0026787B">
        <w:rPr>
          <w:lang w:val="fr-FR"/>
        </w:rPr>
        <w:t xml:space="preserve">hui, la grande majorité des agences gouvernementales américaines recourt à des procédures </w:t>
      </w:r>
      <w:r w:rsidR="00725D25">
        <w:rPr>
          <w:rFonts w:eastAsia="SimSun"/>
          <w:lang w:val="fr-FR"/>
        </w:rPr>
        <w:t>«</w:t>
      </w:r>
      <w:r w:rsidR="001946B9">
        <w:rPr>
          <w:rFonts w:ascii="Times New Roman" w:eastAsia="SimSun" w:hAnsi="Times New Roman"/>
          <w:lang w:val="fr-FR"/>
        </w:rPr>
        <w:t> </w:t>
      </w:r>
      <w:r w:rsidRPr="0026787B">
        <w:rPr>
          <w:lang w:val="fr-FR"/>
        </w:rPr>
        <w:t>informelles</w:t>
      </w:r>
      <w:r w:rsidR="001946B9">
        <w:rPr>
          <w:rFonts w:ascii="Times New Roman" w:eastAsia="SimSun" w:hAnsi="Times New Roman"/>
          <w:lang w:val="fr-FR"/>
        </w:rPr>
        <w:t> </w:t>
      </w:r>
      <w:r w:rsidR="00725D25">
        <w:rPr>
          <w:rFonts w:eastAsia="SimSun"/>
          <w:lang w:val="fr-FR"/>
        </w:rPr>
        <w:t>»</w:t>
      </w:r>
      <w:r w:rsidRPr="0026787B">
        <w:rPr>
          <w:lang w:val="fr-FR"/>
        </w:rPr>
        <w:t xml:space="preserve"> pour créer quasiment toutes les règles. Pour cela, les agences doivent publier au Registre fédéral américain (US Federal Register) un avis de projet de réglementation (Notice Of Proposed Rulemaking ou NOPR)</w:t>
      </w:r>
      <w:r w:rsidRPr="0026787B">
        <w:rPr>
          <w:rStyle w:val="Appelnotedebasdep1"/>
          <w:lang w:val="fr-FR"/>
        </w:rPr>
        <w:footnoteReference w:id="26"/>
      </w:r>
      <w:r w:rsidRPr="0026787B">
        <w:rPr>
          <w:lang w:val="fr-FR"/>
        </w:rPr>
        <w:t xml:space="preserve"> qui porte ainsi à la connaissance du public la nouvelle règle proposée.</w:t>
      </w:r>
      <w:r w:rsidRPr="0026787B">
        <w:rPr>
          <w:rStyle w:val="Appelnotedebasdep1"/>
          <w:lang w:val="fr-FR"/>
        </w:rPr>
        <w:footnoteReference w:id="27"/>
      </w:r>
      <w:r w:rsidRPr="0026787B">
        <w:rPr>
          <w:lang w:val="fr-FR"/>
        </w:rPr>
        <w:t xml:space="preserve"> Cet avis doit comprendre trois types d</w:t>
      </w:r>
      <w:r w:rsidR="00CB54AA" w:rsidRPr="0026787B">
        <w:rPr>
          <w:lang w:val="fr-FR"/>
        </w:rPr>
        <w:t>’</w:t>
      </w:r>
      <w:r w:rsidRPr="0026787B">
        <w:rPr>
          <w:lang w:val="fr-FR"/>
        </w:rPr>
        <w:t>informations spécifiques</w:t>
      </w:r>
      <w:r w:rsidR="00725D25">
        <w:rPr>
          <w:lang w:val="fr-FR"/>
        </w:rPr>
        <w:t> </w:t>
      </w:r>
      <w:r w:rsidRPr="0026787B">
        <w:rPr>
          <w:lang w:val="fr-FR"/>
        </w:rPr>
        <w:t xml:space="preserve">: </w:t>
      </w:r>
      <w:r w:rsidR="00725D25">
        <w:rPr>
          <w:rFonts w:eastAsia="SimSun"/>
          <w:lang w:val="fr-FR"/>
        </w:rPr>
        <w:t>«</w:t>
      </w:r>
      <w:r w:rsidR="001946B9">
        <w:rPr>
          <w:rFonts w:ascii="Times New Roman" w:eastAsia="SimSun" w:hAnsi="Times New Roman"/>
          <w:lang w:val="fr-FR"/>
        </w:rPr>
        <w:t> </w:t>
      </w:r>
      <w:r w:rsidRPr="0026787B">
        <w:rPr>
          <w:lang w:val="fr-FR"/>
        </w:rPr>
        <w:t>(1) la déclaration du moment, du lieu, et de la nature de la procédure de réglementation publique</w:t>
      </w:r>
      <w:r w:rsidR="001946B9">
        <w:rPr>
          <w:rFonts w:ascii="Times New Roman" w:hAnsi="Times New Roman"/>
          <w:lang w:val="fr-FR"/>
        </w:rPr>
        <w:t> </w:t>
      </w:r>
      <w:r w:rsidRPr="0026787B">
        <w:rPr>
          <w:lang w:val="fr-FR"/>
        </w:rPr>
        <w:t>; (2) la référence à l</w:t>
      </w:r>
      <w:r w:rsidR="00CB54AA" w:rsidRPr="0026787B">
        <w:rPr>
          <w:lang w:val="fr-FR"/>
        </w:rPr>
        <w:t>’</w:t>
      </w:r>
      <w:r w:rsidRPr="0026787B">
        <w:rPr>
          <w:lang w:val="fr-FR"/>
        </w:rPr>
        <w:t>autorité légale sous laquelle la règle est proposée</w:t>
      </w:r>
      <w:r w:rsidR="001946B9">
        <w:rPr>
          <w:rFonts w:ascii="Times New Roman" w:hAnsi="Times New Roman"/>
          <w:lang w:val="fr-FR"/>
        </w:rPr>
        <w:t> </w:t>
      </w:r>
      <w:r w:rsidRPr="0026787B">
        <w:rPr>
          <w:lang w:val="fr-FR"/>
        </w:rPr>
        <w:t>; et (3) soit les modalités ou le fondement de la règle proposée soit une description des enjeux qu</w:t>
      </w:r>
      <w:r w:rsidR="00CB54AA" w:rsidRPr="0026787B">
        <w:rPr>
          <w:lang w:val="fr-FR"/>
        </w:rPr>
        <w:t>’</w:t>
      </w:r>
      <w:r w:rsidRPr="0026787B">
        <w:rPr>
          <w:lang w:val="fr-FR"/>
        </w:rPr>
        <w:t>elle soulève.</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28"/>
      </w:r>
      <w:r w:rsidRPr="0026787B">
        <w:rPr>
          <w:lang w:val="fr-FR"/>
        </w:rPr>
        <w:t xml:space="preserve"> En plus de donner aux parties intéressées l</w:t>
      </w:r>
      <w:r w:rsidR="00CB54AA" w:rsidRPr="0026787B">
        <w:rPr>
          <w:lang w:val="fr-FR"/>
        </w:rPr>
        <w:t>’</w:t>
      </w:r>
      <w:r w:rsidRPr="0026787B">
        <w:rPr>
          <w:lang w:val="fr-FR"/>
        </w:rPr>
        <w:t>occasion de commenter les avis (NOPR)</w:t>
      </w:r>
      <w:r w:rsidRPr="0026787B">
        <w:rPr>
          <w:rStyle w:val="Appelnotedebasdep1"/>
          <w:lang w:val="fr-FR"/>
        </w:rPr>
        <w:footnoteReference w:id="29"/>
      </w:r>
      <w:r w:rsidRPr="0026787B">
        <w:rPr>
          <w:lang w:val="fr-FR"/>
        </w:rPr>
        <w:t xml:space="preserve"> et de demander aux agences de </w:t>
      </w:r>
      <w:r w:rsidR="00725D25">
        <w:rPr>
          <w:rFonts w:eastAsia="SimSun"/>
          <w:lang w:val="fr-FR"/>
        </w:rPr>
        <w:t>«</w:t>
      </w:r>
      <w:r w:rsidR="001946B9">
        <w:rPr>
          <w:rFonts w:ascii="Times New Roman" w:eastAsia="SimSun" w:hAnsi="Times New Roman"/>
          <w:lang w:val="fr-FR"/>
        </w:rPr>
        <w:t> </w:t>
      </w:r>
      <w:r w:rsidRPr="0026787B">
        <w:rPr>
          <w:lang w:val="fr-FR"/>
        </w:rPr>
        <w:t>prendre en considération</w:t>
      </w:r>
      <w:r w:rsidR="001946B9">
        <w:rPr>
          <w:rFonts w:ascii="Times New Roman" w:eastAsia="SimSun" w:hAnsi="Times New Roman"/>
          <w:lang w:val="fr-FR"/>
        </w:rPr>
        <w:t> </w:t>
      </w:r>
      <w:r w:rsidR="00725D25">
        <w:rPr>
          <w:rFonts w:eastAsia="SimSun"/>
          <w:lang w:val="fr-FR"/>
        </w:rPr>
        <w:t>»</w:t>
      </w:r>
      <w:r w:rsidRPr="0026787B">
        <w:rPr>
          <w:lang w:val="fr-FR"/>
        </w:rPr>
        <w:t xml:space="preserve"> ces commentaires,</w:t>
      </w:r>
      <w:r w:rsidRPr="0026787B">
        <w:rPr>
          <w:rStyle w:val="Appelnotedebasdep1"/>
          <w:lang w:val="fr-FR"/>
        </w:rPr>
        <w:footnoteReference w:id="30"/>
      </w:r>
      <w:r w:rsidRPr="0026787B">
        <w:rPr>
          <w:lang w:val="fr-FR"/>
        </w:rPr>
        <w:t xml:space="preserve"> la loi APA demande également à ces dernières de faire </w:t>
      </w:r>
      <w:r w:rsidR="00725D25">
        <w:rPr>
          <w:rFonts w:eastAsia="SimSun"/>
          <w:lang w:val="fr-FR"/>
        </w:rPr>
        <w:t>«</w:t>
      </w:r>
      <w:r w:rsidR="001946B9">
        <w:rPr>
          <w:rFonts w:ascii="Times New Roman" w:eastAsia="SimSun" w:hAnsi="Times New Roman"/>
          <w:lang w:val="fr-FR"/>
        </w:rPr>
        <w:t> </w:t>
      </w:r>
      <w:r w:rsidRPr="0026787B">
        <w:rPr>
          <w:lang w:val="fr-FR"/>
        </w:rPr>
        <w:t>une déclaration générale concise</w:t>
      </w:r>
      <w:r w:rsidR="001946B9">
        <w:rPr>
          <w:rFonts w:ascii="Times New Roman" w:eastAsia="SimSun" w:hAnsi="Times New Roman"/>
          <w:lang w:val="fr-FR"/>
        </w:rPr>
        <w:t> </w:t>
      </w:r>
      <w:r w:rsidR="00725D25">
        <w:rPr>
          <w:rFonts w:eastAsia="SimSun"/>
          <w:lang w:val="fr-FR"/>
        </w:rPr>
        <w:t>»</w:t>
      </w:r>
      <w:r w:rsidRPr="0026787B">
        <w:rPr>
          <w:lang w:val="fr-FR"/>
        </w:rPr>
        <w:t xml:space="preserve"> du</w:t>
      </w:r>
      <w:r w:rsidR="001946B9">
        <w:rPr>
          <w:rFonts w:ascii="Times New Roman" w:hAnsi="Times New Roman"/>
          <w:lang w:val="fr-FR"/>
        </w:rPr>
        <w:t> </w:t>
      </w:r>
      <w:r w:rsidR="00725D25">
        <w:rPr>
          <w:rFonts w:eastAsia="SimSun"/>
          <w:lang w:val="fr-FR"/>
        </w:rPr>
        <w:t>»</w:t>
      </w:r>
      <w:r w:rsidR="00026722" w:rsidRPr="0026787B">
        <w:rPr>
          <w:rFonts w:eastAsia="SimSun"/>
          <w:lang w:val="fr-FR"/>
        </w:rPr>
        <w:t> </w:t>
      </w:r>
      <w:r w:rsidRPr="0026787B">
        <w:rPr>
          <w:lang w:val="fr-FR"/>
        </w:rPr>
        <w:t>point de départ et du but</w:t>
      </w:r>
      <w:r w:rsidR="001946B9">
        <w:rPr>
          <w:rFonts w:ascii="Times New Roman" w:eastAsia="SimSun" w:hAnsi="Times New Roman"/>
          <w:lang w:val="fr-FR"/>
        </w:rPr>
        <w:t> </w:t>
      </w:r>
      <w:r w:rsidR="00725D25">
        <w:rPr>
          <w:rFonts w:eastAsia="SimSun"/>
          <w:lang w:val="fr-FR"/>
        </w:rPr>
        <w:t>»</w:t>
      </w:r>
      <w:r w:rsidRPr="0026787B">
        <w:rPr>
          <w:lang w:val="fr-FR"/>
        </w:rPr>
        <w:t xml:space="preserve"> de chaque règle définitive qu</w:t>
      </w:r>
      <w:r w:rsidR="00CB54AA" w:rsidRPr="0026787B">
        <w:rPr>
          <w:lang w:val="fr-FR"/>
        </w:rPr>
        <w:t>’</w:t>
      </w:r>
      <w:r w:rsidRPr="0026787B">
        <w:rPr>
          <w:lang w:val="fr-FR"/>
        </w:rPr>
        <w:t>elles font.</w:t>
      </w:r>
      <w:r w:rsidRPr="0026787B">
        <w:rPr>
          <w:rStyle w:val="Appelnotedebasdep1"/>
          <w:lang w:val="fr-FR"/>
        </w:rPr>
        <w:footnoteReference w:id="31"/>
      </w:r>
      <w:r w:rsidRPr="0026787B">
        <w:rPr>
          <w:lang w:val="fr-FR"/>
        </w:rPr>
        <w:t xml:space="preserve"> Ceci étant dit, les procédures de réglementation prévues par la loi APA dispensent aussi les agences de fournir divers types d</w:t>
      </w:r>
      <w:r w:rsidR="00CB54AA" w:rsidRPr="0026787B">
        <w:rPr>
          <w:lang w:val="fr-FR"/>
        </w:rPr>
        <w:t>’</w:t>
      </w:r>
      <w:r w:rsidRPr="0026787B">
        <w:rPr>
          <w:lang w:val="fr-FR"/>
        </w:rPr>
        <w:t>informations.</w:t>
      </w:r>
      <w:r w:rsidRPr="0026787B">
        <w:rPr>
          <w:rStyle w:val="Appelnotedebasdep1"/>
          <w:lang w:val="fr-FR"/>
        </w:rPr>
        <w:footnoteReference w:id="32"/>
      </w:r>
      <w:r w:rsidRPr="0026787B">
        <w:rPr>
          <w:lang w:val="fr-FR"/>
        </w:rPr>
        <w:t xml:space="preserve"> </w:t>
      </w:r>
    </w:p>
    <w:p w14:paraId="22243131" w14:textId="233B4160" w:rsidR="00CF5CC4" w:rsidRPr="0026787B" w:rsidRDefault="00CF5CC4" w:rsidP="00026722">
      <w:pPr>
        <w:rPr>
          <w:lang w:val="fr-FR"/>
        </w:rPr>
      </w:pPr>
      <w:r w:rsidRPr="0026787B">
        <w:rPr>
          <w:lang w:val="fr-FR"/>
        </w:rPr>
        <w:t>L</w:t>
      </w:r>
      <w:r w:rsidR="00CB54AA" w:rsidRPr="0026787B">
        <w:rPr>
          <w:lang w:val="fr-FR"/>
        </w:rPr>
        <w:t>’</w:t>
      </w:r>
      <w:r w:rsidRPr="0026787B">
        <w:rPr>
          <w:lang w:val="fr-FR"/>
        </w:rPr>
        <w:t>adoption des procédures de réglementation prévues par la loi APA a eu pour effet d</w:t>
      </w:r>
      <w:r w:rsidR="00CB54AA" w:rsidRPr="0026787B">
        <w:rPr>
          <w:lang w:val="fr-FR"/>
        </w:rPr>
        <w:t>’</w:t>
      </w:r>
      <w:r w:rsidRPr="0026787B">
        <w:rPr>
          <w:lang w:val="fr-FR"/>
        </w:rPr>
        <w:t xml:space="preserve">augmenter la participation citoyenne autant que dans les procédures de confirmation de nomination à la </w:t>
      </w:r>
      <w:r w:rsidR="0063539C">
        <w:rPr>
          <w:lang w:val="fr-FR"/>
        </w:rPr>
        <w:t>C</w:t>
      </w:r>
      <w:r w:rsidRPr="0026787B">
        <w:rPr>
          <w:lang w:val="fr-FR"/>
        </w:rPr>
        <w:t xml:space="preserve">our suprême fédérale. Chaque fois que les agences administratives proposent une nouvelle règle ou un nouveau règlement, il est tout à fait habituel pour les particuliers et les organismes impactés de soumettre des commentaires, des modifications et des amendements. Dans certaines situations, ce sont les organismes réglementés qui se mobilisent (comme ils le font dans le cas des propositions de nomination à la </w:t>
      </w:r>
      <w:r w:rsidR="0063539C">
        <w:rPr>
          <w:lang w:val="fr-FR"/>
        </w:rPr>
        <w:t>C</w:t>
      </w:r>
      <w:r w:rsidRPr="0026787B">
        <w:rPr>
          <w:lang w:val="fr-FR"/>
        </w:rPr>
        <w:t>our suprême fédérale) pour présenter une argumentation détaillée en faveur autant qu</w:t>
      </w:r>
      <w:r w:rsidR="00CB54AA" w:rsidRPr="0026787B">
        <w:rPr>
          <w:lang w:val="fr-FR"/>
        </w:rPr>
        <w:t>’</w:t>
      </w:r>
      <w:r w:rsidRPr="0026787B">
        <w:rPr>
          <w:lang w:val="fr-FR"/>
        </w:rPr>
        <w:t>à l</w:t>
      </w:r>
      <w:r w:rsidR="00CB54AA" w:rsidRPr="0026787B">
        <w:rPr>
          <w:lang w:val="fr-FR"/>
        </w:rPr>
        <w:t>’</w:t>
      </w:r>
      <w:r w:rsidRPr="0026787B">
        <w:rPr>
          <w:lang w:val="fr-FR"/>
        </w:rPr>
        <w:t>encontre des propositions de modifications de la réglementation.</w:t>
      </w:r>
      <w:r w:rsidRPr="0026787B">
        <w:rPr>
          <w:rStyle w:val="Appelnotedebasdep1"/>
          <w:lang w:val="fr-FR"/>
        </w:rPr>
        <w:footnoteReference w:id="33"/>
      </w:r>
      <w:r w:rsidR="00026722" w:rsidRPr="0026787B">
        <w:rPr>
          <w:lang w:val="fr-FR"/>
        </w:rPr>
        <w:t xml:space="preserve"> </w:t>
      </w:r>
    </w:p>
    <w:p w14:paraId="0150E531" w14:textId="1C9F0D02" w:rsidR="00CF5CC4" w:rsidRPr="0026787B" w:rsidRDefault="00CF5CC4" w:rsidP="00C93596">
      <w:pPr>
        <w:rPr>
          <w:lang w:val="fr-FR"/>
        </w:rPr>
      </w:pPr>
      <w:r w:rsidRPr="0026787B">
        <w:rPr>
          <w:lang w:val="fr-FR"/>
        </w:rPr>
        <w:t>La loi APA faisait aussi la promotion de l</w:t>
      </w:r>
      <w:r w:rsidR="00CB54AA" w:rsidRPr="0026787B">
        <w:rPr>
          <w:lang w:val="fr-FR"/>
        </w:rPr>
        <w:t>’</w:t>
      </w:r>
      <w:r w:rsidRPr="0026787B">
        <w:rPr>
          <w:lang w:val="fr-FR"/>
        </w:rPr>
        <w:t>ouverture du gouvernement parce qu</w:t>
      </w:r>
      <w:r w:rsidR="00CB54AA" w:rsidRPr="0026787B">
        <w:rPr>
          <w:lang w:val="fr-FR"/>
        </w:rPr>
        <w:t>’</w:t>
      </w:r>
      <w:r w:rsidRPr="0026787B">
        <w:rPr>
          <w:lang w:val="fr-FR"/>
        </w:rPr>
        <w:t>elle demandait aux agences administratives de communiquer volontairement au public divers types d</w:t>
      </w:r>
      <w:r w:rsidR="00CB54AA" w:rsidRPr="0026787B">
        <w:rPr>
          <w:lang w:val="fr-FR"/>
        </w:rPr>
        <w:t>’</w:t>
      </w:r>
      <w:r w:rsidRPr="0026787B">
        <w:rPr>
          <w:lang w:val="fr-FR"/>
        </w:rPr>
        <w:t xml:space="preserve">informations, y compris la publication des </w:t>
      </w:r>
      <w:r w:rsidR="00725D25">
        <w:rPr>
          <w:rFonts w:eastAsia="SimSun"/>
          <w:lang w:val="fr-FR"/>
        </w:rPr>
        <w:t>«</w:t>
      </w:r>
      <w:r w:rsidR="001946B9">
        <w:rPr>
          <w:rFonts w:ascii="Times New Roman" w:eastAsia="SimSun" w:hAnsi="Times New Roman"/>
          <w:lang w:val="fr-FR"/>
        </w:rPr>
        <w:t> </w:t>
      </w:r>
      <w:r w:rsidRPr="0026787B">
        <w:rPr>
          <w:lang w:val="fr-FR"/>
        </w:rPr>
        <w:t>règles d</w:t>
      </w:r>
      <w:r w:rsidR="00CB54AA" w:rsidRPr="0026787B">
        <w:rPr>
          <w:lang w:val="fr-FR"/>
        </w:rPr>
        <w:t>’</w:t>
      </w:r>
      <w:r w:rsidRPr="0026787B">
        <w:rPr>
          <w:lang w:val="fr-FR"/>
        </w:rPr>
        <w:t>interprétation et des déclarations de politique générale.</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34"/>
      </w:r>
      <w:r w:rsidR="00026722" w:rsidRPr="0026787B">
        <w:rPr>
          <w:rFonts w:eastAsia="SimSun"/>
          <w:lang w:val="fr-FR"/>
        </w:rPr>
        <w:t xml:space="preserve"> </w:t>
      </w:r>
      <w:r w:rsidRPr="0026787B">
        <w:rPr>
          <w:lang w:val="fr-FR"/>
        </w:rPr>
        <w:t>Toutefois, même si la loi APA a été bénéfique au sens</w:t>
      </w:r>
      <w:r w:rsidR="001946B9">
        <w:rPr>
          <w:rFonts w:ascii="Times New Roman" w:hAnsi="Times New Roman"/>
          <w:lang w:val="fr-FR"/>
        </w:rPr>
        <w:t> </w:t>
      </w:r>
      <w:r w:rsidR="009E3D92">
        <w:rPr>
          <w:lang w:val="fr-FR"/>
        </w:rPr>
        <w:t>»</w:t>
      </w:r>
      <w:r w:rsidRPr="0026787B">
        <w:rPr>
          <w:lang w:val="fr-FR"/>
        </w:rPr>
        <w:t xml:space="preserve"> où elle était </w:t>
      </w:r>
      <w:r w:rsidRPr="0026787B">
        <w:rPr>
          <w:lang w:val="fr-FR"/>
        </w:rPr>
        <w:lastRenderedPageBreak/>
        <w:t>conçue pour demander aux agences de divulguer volontairement des informations au public, il n</w:t>
      </w:r>
      <w:r w:rsidR="00CB54AA" w:rsidRPr="0026787B">
        <w:rPr>
          <w:lang w:val="fr-FR"/>
        </w:rPr>
        <w:t>’</w:t>
      </w:r>
      <w:r w:rsidRPr="0026787B">
        <w:rPr>
          <w:lang w:val="fr-FR"/>
        </w:rPr>
        <w:t>en demeure pas moins que les obligations de divulgation se limitaient à certains types d</w:t>
      </w:r>
      <w:r w:rsidR="00CB54AA" w:rsidRPr="0026787B">
        <w:rPr>
          <w:lang w:val="fr-FR"/>
        </w:rPr>
        <w:t>’</w:t>
      </w:r>
      <w:r w:rsidRPr="0026787B">
        <w:rPr>
          <w:lang w:val="fr-FR"/>
        </w:rPr>
        <w:t>informations comme des documents relatifs aux réglementations, aux règles d</w:t>
      </w:r>
      <w:r w:rsidR="00CB54AA" w:rsidRPr="0026787B">
        <w:rPr>
          <w:lang w:val="fr-FR"/>
        </w:rPr>
        <w:t>’</w:t>
      </w:r>
      <w:r w:rsidRPr="0026787B">
        <w:rPr>
          <w:lang w:val="fr-FR"/>
        </w:rPr>
        <w:t>interprétation et aux déclarations de politique générale, ce qui ne créait pas un droit général d</w:t>
      </w:r>
      <w:r w:rsidR="00CB54AA" w:rsidRPr="0026787B">
        <w:rPr>
          <w:lang w:val="fr-FR"/>
        </w:rPr>
        <w:t>’</w:t>
      </w:r>
      <w:r w:rsidRPr="0026787B">
        <w:rPr>
          <w:lang w:val="fr-FR"/>
        </w:rPr>
        <w:t>accès aux documents des agences.</w:t>
      </w:r>
      <w:r w:rsidRPr="0026787B">
        <w:rPr>
          <w:rStyle w:val="Appelnotedebasdep1"/>
          <w:lang w:val="fr-FR"/>
        </w:rPr>
        <w:footnoteReference w:id="35"/>
      </w:r>
      <w:r w:rsidRPr="0026787B">
        <w:rPr>
          <w:lang w:val="fr-FR"/>
        </w:rPr>
        <w:t xml:space="preserve"> Qui plus est, l</w:t>
      </w:r>
      <w:r w:rsidR="00CB54AA" w:rsidRPr="0026787B">
        <w:rPr>
          <w:lang w:val="fr-FR"/>
        </w:rPr>
        <w:t>’</w:t>
      </w:r>
      <w:r w:rsidRPr="0026787B">
        <w:rPr>
          <w:lang w:val="fr-FR"/>
        </w:rPr>
        <w:t>obligation de publication des règles d</w:t>
      </w:r>
      <w:r w:rsidR="00CB54AA" w:rsidRPr="0026787B">
        <w:rPr>
          <w:lang w:val="fr-FR"/>
        </w:rPr>
        <w:t>’</w:t>
      </w:r>
      <w:r w:rsidRPr="0026787B">
        <w:rPr>
          <w:lang w:val="fr-FR"/>
        </w:rPr>
        <w:t>interprétation et des déclarations de politique générale a été fréquemment ignorée par les agences administratives, et cela sans conséquence pour elles,</w:t>
      </w:r>
      <w:r w:rsidRPr="0026787B">
        <w:rPr>
          <w:rStyle w:val="Appelnotedebasdep1"/>
          <w:lang w:val="fr-FR"/>
        </w:rPr>
        <w:footnoteReference w:id="36"/>
      </w:r>
      <w:r w:rsidRPr="0026787B">
        <w:rPr>
          <w:lang w:val="fr-FR"/>
        </w:rPr>
        <w:t xml:space="preserve"> bien que la loi sur la liberté de l</w:t>
      </w:r>
      <w:r w:rsidR="00CB54AA" w:rsidRPr="0026787B">
        <w:rPr>
          <w:lang w:val="fr-FR"/>
        </w:rPr>
        <w:t>’</w:t>
      </w:r>
      <w:r w:rsidRPr="0026787B">
        <w:rPr>
          <w:lang w:val="fr-FR"/>
        </w:rPr>
        <w:t>information (FOIA) prétende imposer des sanctions aux agences qui ne satisfont pas à leurs obligations de divulgation de l</w:t>
      </w:r>
      <w:r w:rsidR="00CB54AA" w:rsidRPr="0026787B">
        <w:rPr>
          <w:lang w:val="fr-FR"/>
        </w:rPr>
        <w:t>’</w:t>
      </w:r>
      <w:r w:rsidRPr="0026787B">
        <w:rPr>
          <w:lang w:val="fr-FR"/>
        </w:rPr>
        <w:t>information.</w:t>
      </w:r>
    </w:p>
    <w:p w14:paraId="083CF9F8" w14:textId="7EDEFEAE" w:rsidR="00CF5CC4" w:rsidRPr="0026787B" w:rsidRDefault="00CF5CC4" w:rsidP="00C93596">
      <w:pPr>
        <w:rPr>
          <w:spacing w:val="-8"/>
          <w:lang w:val="fr-FR"/>
        </w:rPr>
      </w:pPr>
      <w:r w:rsidRPr="0026787B">
        <w:rPr>
          <w:spacing w:val="-8"/>
          <w:lang w:val="fr-FR"/>
        </w:rPr>
        <w:t>Faisant suite à la loi APA, d</w:t>
      </w:r>
      <w:r w:rsidR="00CB54AA" w:rsidRPr="0026787B">
        <w:rPr>
          <w:spacing w:val="-8"/>
          <w:lang w:val="fr-FR"/>
        </w:rPr>
        <w:t>’</w:t>
      </w:r>
      <w:r w:rsidRPr="0026787B">
        <w:rPr>
          <w:spacing w:val="-8"/>
          <w:lang w:val="fr-FR"/>
        </w:rPr>
        <w:t>autres lois ont été votées par le Congrès américain pour promouvoir l</w:t>
      </w:r>
      <w:r w:rsidR="00CB54AA" w:rsidRPr="0026787B">
        <w:rPr>
          <w:spacing w:val="-8"/>
          <w:lang w:val="fr-FR"/>
        </w:rPr>
        <w:t>’</w:t>
      </w:r>
      <w:r w:rsidRPr="0026787B">
        <w:rPr>
          <w:spacing w:val="-8"/>
          <w:lang w:val="fr-FR"/>
        </w:rPr>
        <w:t>ouverture et la transparence. On peut citer par exemple dans les années</w:t>
      </w:r>
      <w:r w:rsidR="00725D25">
        <w:rPr>
          <w:spacing w:val="-8"/>
          <w:lang w:val="fr-FR"/>
        </w:rPr>
        <w:t> </w:t>
      </w:r>
      <w:r w:rsidRPr="0026787B">
        <w:rPr>
          <w:spacing w:val="-8"/>
          <w:lang w:val="fr-FR"/>
        </w:rPr>
        <w:t>1960 le vote par le Congrès de la loi sur la liberté de l</w:t>
      </w:r>
      <w:r w:rsidR="00CB54AA" w:rsidRPr="0026787B">
        <w:rPr>
          <w:spacing w:val="-8"/>
          <w:lang w:val="fr-FR"/>
        </w:rPr>
        <w:t>’</w:t>
      </w:r>
      <w:r w:rsidRPr="0026787B">
        <w:rPr>
          <w:spacing w:val="-8"/>
          <w:lang w:val="fr-FR"/>
        </w:rPr>
        <w:t>information (Freedom Of Information Act)</w:t>
      </w:r>
      <w:r w:rsidR="00725D25">
        <w:rPr>
          <w:spacing w:val="-8"/>
          <w:lang w:val="fr-FR"/>
        </w:rPr>
        <w:t xml:space="preserve"> </w:t>
      </w:r>
      <w:r w:rsidRPr="0026787B">
        <w:rPr>
          <w:rStyle w:val="Appelnotedebasdep1"/>
          <w:spacing w:val="-8"/>
          <w:lang w:val="fr-FR"/>
        </w:rPr>
        <w:footnoteReference w:id="37"/>
      </w:r>
      <w:r w:rsidRPr="0026787B">
        <w:rPr>
          <w:spacing w:val="-8"/>
          <w:lang w:val="fr-FR"/>
        </w:rPr>
        <w:t>qui donne aux particuliers et aux sociétés un droit d</w:t>
      </w:r>
      <w:r w:rsidR="00CB54AA" w:rsidRPr="0026787B">
        <w:rPr>
          <w:spacing w:val="-8"/>
          <w:lang w:val="fr-FR"/>
        </w:rPr>
        <w:t>’</w:t>
      </w:r>
      <w:r w:rsidRPr="0026787B">
        <w:rPr>
          <w:spacing w:val="-8"/>
          <w:lang w:val="fr-FR"/>
        </w:rPr>
        <w:t>accès à l</w:t>
      </w:r>
      <w:r w:rsidR="00CB54AA" w:rsidRPr="0026787B">
        <w:rPr>
          <w:spacing w:val="-8"/>
          <w:lang w:val="fr-FR"/>
        </w:rPr>
        <w:t>’</w:t>
      </w:r>
      <w:r w:rsidRPr="0026787B">
        <w:rPr>
          <w:spacing w:val="-8"/>
          <w:lang w:val="fr-FR"/>
        </w:rPr>
        <w:t xml:space="preserve">information détenue par le gouvernement américain. Cette loi (FOIA) est une loi de </w:t>
      </w:r>
      <w:r w:rsidR="00725D25">
        <w:rPr>
          <w:rFonts w:eastAsia="SimSun"/>
          <w:spacing w:val="-8"/>
          <w:lang w:val="fr-FR"/>
        </w:rPr>
        <w:t>«</w:t>
      </w:r>
      <w:r w:rsidR="001946B9">
        <w:rPr>
          <w:rFonts w:ascii="Times New Roman" w:eastAsia="SimSun" w:hAnsi="Times New Roman"/>
          <w:spacing w:val="-8"/>
          <w:lang w:val="fr-FR"/>
        </w:rPr>
        <w:t> </w:t>
      </w:r>
      <w:r w:rsidRPr="0026787B">
        <w:rPr>
          <w:spacing w:val="-8"/>
          <w:lang w:val="fr-FR"/>
        </w:rPr>
        <w:t>divulgation</w:t>
      </w:r>
      <w:r w:rsidR="001946B9">
        <w:rPr>
          <w:rFonts w:ascii="Times New Roman" w:eastAsia="SimSun" w:hAnsi="Times New Roman"/>
          <w:spacing w:val="-8"/>
          <w:lang w:val="fr-FR"/>
        </w:rPr>
        <w:t> </w:t>
      </w:r>
      <w:r w:rsidR="00725D25">
        <w:rPr>
          <w:rFonts w:eastAsia="SimSun"/>
          <w:spacing w:val="-8"/>
          <w:lang w:val="fr-FR"/>
        </w:rPr>
        <w:t>»</w:t>
      </w:r>
      <w:r w:rsidRPr="0026787B">
        <w:rPr>
          <w:spacing w:val="-8"/>
          <w:lang w:val="fr-FR"/>
        </w:rPr>
        <w:t xml:space="preserve"> ou de </w:t>
      </w:r>
      <w:r w:rsidR="00725D25">
        <w:rPr>
          <w:rFonts w:eastAsia="SimSun"/>
          <w:spacing w:val="-8"/>
          <w:lang w:val="fr-FR"/>
        </w:rPr>
        <w:t>«</w:t>
      </w:r>
      <w:r w:rsidR="001946B9">
        <w:rPr>
          <w:rFonts w:ascii="Times New Roman" w:eastAsia="SimSun" w:hAnsi="Times New Roman"/>
          <w:spacing w:val="-8"/>
          <w:lang w:val="fr-FR"/>
        </w:rPr>
        <w:t> </w:t>
      </w:r>
      <w:r w:rsidRPr="0026787B">
        <w:rPr>
          <w:spacing w:val="-8"/>
          <w:lang w:val="fr-FR"/>
        </w:rPr>
        <w:t>communication</w:t>
      </w:r>
      <w:r w:rsidR="001946B9">
        <w:rPr>
          <w:rFonts w:ascii="Times New Roman" w:eastAsia="SimSun" w:hAnsi="Times New Roman"/>
          <w:spacing w:val="-8"/>
          <w:lang w:val="fr-FR"/>
        </w:rPr>
        <w:t> </w:t>
      </w:r>
      <w:r w:rsidR="00725D25">
        <w:rPr>
          <w:rFonts w:eastAsia="SimSun"/>
          <w:spacing w:val="-8"/>
          <w:lang w:val="fr-FR"/>
        </w:rPr>
        <w:t>»</w:t>
      </w:r>
      <w:r w:rsidRPr="0026787B">
        <w:rPr>
          <w:spacing w:val="-8"/>
          <w:lang w:val="fr-FR"/>
        </w:rPr>
        <w:t xml:space="preserve"> de l</w:t>
      </w:r>
      <w:r w:rsidR="00CB54AA" w:rsidRPr="0026787B">
        <w:rPr>
          <w:spacing w:val="-8"/>
          <w:lang w:val="fr-FR"/>
        </w:rPr>
        <w:t>’</w:t>
      </w:r>
      <w:r w:rsidRPr="0026787B">
        <w:rPr>
          <w:spacing w:val="-8"/>
          <w:lang w:val="fr-FR"/>
        </w:rPr>
        <w:t>information parce que le Congrès supposait que le gouvernement communiquerait les documents demandés plutôt que de faire le contraire.</w:t>
      </w:r>
      <w:r w:rsidRPr="0026787B">
        <w:rPr>
          <w:rStyle w:val="Appelnotedebasdep1"/>
          <w:spacing w:val="-8"/>
          <w:lang w:val="fr-FR"/>
        </w:rPr>
        <w:footnoteReference w:id="38"/>
      </w:r>
      <w:r w:rsidRPr="0026787B">
        <w:rPr>
          <w:spacing w:val="-8"/>
          <w:lang w:val="fr-FR"/>
        </w:rPr>
        <w:t xml:space="preserve"> En effet, la loi FOIA déclare tout particulièrement qu</w:t>
      </w:r>
      <w:r w:rsidR="00CB54AA" w:rsidRPr="0026787B">
        <w:rPr>
          <w:spacing w:val="-8"/>
          <w:lang w:val="fr-FR"/>
        </w:rPr>
        <w:t>’</w:t>
      </w:r>
      <w:r w:rsidRPr="0026787B">
        <w:rPr>
          <w:spacing w:val="-8"/>
          <w:lang w:val="fr-FR"/>
        </w:rPr>
        <w:t>à chaque demande de documents qui décrit de manière raisonnable ces documents et qui est faite conformément aux règles publiées portant sur le moment, le lieu, les frais (le cas échéant), et les procédures à respecter [les agences] doivent mettre rapidement ces documents à la disposition de tous.</w:t>
      </w:r>
      <w:r w:rsidR="001946B9">
        <w:rPr>
          <w:rFonts w:ascii="Times New Roman" w:eastAsia="SimSun" w:hAnsi="Times New Roman"/>
          <w:spacing w:val="-8"/>
          <w:lang w:val="fr-FR"/>
        </w:rPr>
        <w:t> </w:t>
      </w:r>
      <w:r w:rsidR="00725D25">
        <w:rPr>
          <w:rFonts w:eastAsia="SimSun"/>
          <w:spacing w:val="-8"/>
          <w:lang w:val="fr-FR"/>
        </w:rPr>
        <w:t>»</w:t>
      </w:r>
      <w:r w:rsidRPr="0026787B">
        <w:rPr>
          <w:rStyle w:val="Appelnotedebasdep1"/>
          <w:rFonts w:eastAsia="SimSun"/>
          <w:spacing w:val="-8"/>
          <w:lang w:val="fr-FR"/>
        </w:rPr>
        <w:footnoteReference w:id="39"/>
      </w:r>
      <w:r w:rsidRPr="0026787B">
        <w:rPr>
          <w:spacing w:val="-8"/>
          <w:lang w:val="fr-FR"/>
        </w:rPr>
        <w:t xml:space="preserve"> Néanmoins, les agences ont vingt jours pour décider si elles donnent satisfaction à une requête,</w:t>
      </w:r>
      <w:r w:rsidRPr="0026787B">
        <w:rPr>
          <w:rStyle w:val="Appelnotedebasdep1"/>
          <w:spacing w:val="-8"/>
          <w:lang w:val="fr-FR"/>
        </w:rPr>
        <w:footnoteReference w:id="40"/>
      </w:r>
      <w:r w:rsidRPr="0026787B">
        <w:rPr>
          <w:spacing w:val="-8"/>
          <w:lang w:val="fr-FR"/>
        </w:rPr>
        <w:t xml:space="preserve"> et ce délai peut être suspendu si l</w:t>
      </w:r>
      <w:r w:rsidR="00CB54AA" w:rsidRPr="0026787B">
        <w:rPr>
          <w:spacing w:val="-8"/>
          <w:lang w:val="fr-FR"/>
        </w:rPr>
        <w:t>’</w:t>
      </w:r>
      <w:r w:rsidRPr="0026787B">
        <w:rPr>
          <w:spacing w:val="-8"/>
          <w:lang w:val="fr-FR"/>
        </w:rPr>
        <w:t>agence demande un complément d</w:t>
      </w:r>
      <w:r w:rsidR="00CB54AA" w:rsidRPr="0026787B">
        <w:rPr>
          <w:spacing w:val="-8"/>
          <w:lang w:val="fr-FR"/>
        </w:rPr>
        <w:t>’</w:t>
      </w:r>
      <w:r w:rsidRPr="0026787B">
        <w:rPr>
          <w:spacing w:val="-8"/>
          <w:lang w:val="fr-FR"/>
        </w:rPr>
        <w:t>information ou s</w:t>
      </w:r>
      <w:r w:rsidR="00CB54AA" w:rsidRPr="0026787B">
        <w:rPr>
          <w:spacing w:val="-8"/>
          <w:lang w:val="fr-FR"/>
        </w:rPr>
        <w:t>’</w:t>
      </w:r>
      <w:r w:rsidRPr="0026787B">
        <w:rPr>
          <w:spacing w:val="-8"/>
          <w:lang w:val="fr-FR"/>
        </w:rPr>
        <w:t>il est nécessaire de clarifier la question de l</w:t>
      </w:r>
      <w:r w:rsidR="00CB54AA" w:rsidRPr="0026787B">
        <w:rPr>
          <w:spacing w:val="-8"/>
          <w:lang w:val="fr-FR"/>
        </w:rPr>
        <w:t>’</w:t>
      </w:r>
      <w:r w:rsidRPr="0026787B">
        <w:rPr>
          <w:spacing w:val="-8"/>
          <w:lang w:val="fr-FR"/>
        </w:rPr>
        <w:t>application d</w:t>
      </w:r>
      <w:r w:rsidR="00CB54AA" w:rsidRPr="0026787B">
        <w:rPr>
          <w:spacing w:val="-8"/>
          <w:lang w:val="fr-FR"/>
        </w:rPr>
        <w:t>’</w:t>
      </w:r>
      <w:r w:rsidRPr="0026787B">
        <w:rPr>
          <w:spacing w:val="-8"/>
          <w:lang w:val="fr-FR"/>
        </w:rPr>
        <w:t>honoraires.</w:t>
      </w:r>
      <w:r w:rsidRPr="0026787B">
        <w:rPr>
          <w:rStyle w:val="Appelnotedebasdep1"/>
          <w:spacing w:val="-8"/>
          <w:lang w:val="fr-FR"/>
        </w:rPr>
        <w:footnoteReference w:id="41"/>
      </w:r>
      <w:r w:rsidRPr="0026787B">
        <w:rPr>
          <w:spacing w:val="-8"/>
          <w:lang w:val="fr-FR"/>
        </w:rPr>
        <w:t xml:space="preserve"> Au cas où l</w:t>
      </w:r>
      <w:r w:rsidR="00CB54AA" w:rsidRPr="0026787B">
        <w:rPr>
          <w:spacing w:val="-8"/>
          <w:lang w:val="fr-FR"/>
        </w:rPr>
        <w:t>’</w:t>
      </w:r>
      <w:r w:rsidRPr="0026787B">
        <w:rPr>
          <w:spacing w:val="-8"/>
          <w:lang w:val="fr-FR"/>
        </w:rPr>
        <w:t>agence ne respecte pas les délais impartis, elle ne peut en aucun cas réclamer à la partie demanderesse de régler des frais de recherche en l</w:t>
      </w:r>
      <w:r w:rsidR="00CB54AA" w:rsidRPr="0026787B">
        <w:rPr>
          <w:spacing w:val="-8"/>
          <w:lang w:val="fr-FR"/>
        </w:rPr>
        <w:t>’</w:t>
      </w:r>
      <w:r w:rsidRPr="0026787B">
        <w:rPr>
          <w:spacing w:val="-8"/>
          <w:lang w:val="fr-FR"/>
        </w:rPr>
        <w:t xml:space="preserve">absence de </w:t>
      </w:r>
      <w:r w:rsidR="00725D25">
        <w:rPr>
          <w:rFonts w:eastAsia="SimSun"/>
          <w:spacing w:val="-8"/>
          <w:lang w:val="fr-FR"/>
        </w:rPr>
        <w:t>«</w:t>
      </w:r>
      <w:r w:rsidR="001946B9">
        <w:rPr>
          <w:rFonts w:ascii="Times New Roman" w:eastAsia="SimSun" w:hAnsi="Times New Roman"/>
          <w:spacing w:val="-8"/>
          <w:lang w:val="fr-FR"/>
        </w:rPr>
        <w:t> </w:t>
      </w:r>
      <w:r w:rsidRPr="0026787B">
        <w:rPr>
          <w:spacing w:val="-8"/>
          <w:lang w:val="fr-FR"/>
        </w:rPr>
        <w:t>circonstances inhabituelles ou exceptionnelles.</w:t>
      </w:r>
      <w:r w:rsidR="001946B9">
        <w:rPr>
          <w:rFonts w:ascii="Times New Roman" w:eastAsia="SimSun" w:hAnsi="Times New Roman"/>
          <w:spacing w:val="-8"/>
          <w:lang w:val="fr-FR"/>
        </w:rPr>
        <w:t> </w:t>
      </w:r>
      <w:r w:rsidR="00725D25">
        <w:rPr>
          <w:rFonts w:eastAsia="SimSun"/>
          <w:spacing w:val="-8"/>
          <w:lang w:val="fr-FR"/>
        </w:rPr>
        <w:t>»</w:t>
      </w:r>
      <w:r w:rsidRPr="0026787B">
        <w:rPr>
          <w:rStyle w:val="Appelnotedebasdep"/>
          <w:rFonts w:eastAsia="SimSun"/>
          <w:spacing w:val="-8"/>
          <w:lang w:val="fr-FR"/>
        </w:rPr>
        <w:footnoteReference w:id="42"/>
      </w:r>
    </w:p>
    <w:p w14:paraId="261748E6" w14:textId="7A3AC667" w:rsidR="00CF5CC4" w:rsidRPr="0026787B" w:rsidRDefault="00CF5CC4" w:rsidP="00026722">
      <w:pPr>
        <w:rPr>
          <w:lang w:val="fr-FR"/>
        </w:rPr>
      </w:pPr>
      <w:r w:rsidRPr="0026787B">
        <w:rPr>
          <w:lang w:val="fr-FR"/>
        </w:rPr>
        <w:t>Même si la loi FOIA est une loi de divulgation, elle n</w:t>
      </w:r>
      <w:r w:rsidR="00CB54AA" w:rsidRPr="0026787B">
        <w:rPr>
          <w:lang w:val="fr-FR"/>
        </w:rPr>
        <w:t>’</w:t>
      </w:r>
      <w:r w:rsidRPr="0026787B">
        <w:rPr>
          <w:lang w:val="fr-FR"/>
        </w:rPr>
        <w:t xml:space="preserve">impose pas la communication de </w:t>
      </w:r>
      <w:r w:rsidRPr="0026787B">
        <w:rPr>
          <w:iCs/>
          <w:lang w:val="fr-FR"/>
        </w:rPr>
        <w:t>tous</w:t>
      </w:r>
      <w:r w:rsidRPr="0026787B">
        <w:rPr>
          <w:lang w:val="fr-FR"/>
        </w:rPr>
        <w:t xml:space="preserve"> les documents du gouvernement. Quoique cette loi suppose la divulgation, elle autorise toutefois de manière explicite les agences administratives à ne pas révéler diverses informations telles que des informations classées </w:t>
      </w:r>
      <w:r w:rsidR="00725D25">
        <w:rPr>
          <w:lang w:val="fr-FR"/>
        </w:rPr>
        <w:t>«</w:t>
      </w:r>
      <w:r w:rsidR="001946B9">
        <w:rPr>
          <w:rFonts w:ascii="Times New Roman" w:hAnsi="Times New Roman"/>
          <w:lang w:val="fr-FR"/>
        </w:rPr>
        <w:t> </w:t>
      </w:r>
      <w:r w:rsidRPr="0026787B">
        <w:rPr>
          <w:lang w:val="fr-FR"/>
        </w:rPr>
        <w:t>secret</w:t>
      </w:r>
      <w:r w:rsidR="001946B9">
        <w:rPr>
          <w:rFonts w:ascii="Times New Roman" w:hAnsi="Times New Roman"/>
          <w:lang w:val="fr-FR"/>
        </w:rPr>
        <w:t> </w:t>
      </w:r>
      <w:r w:rsidR="00725D25">
        <w:rPr>
          <w:lang w:val="fr-FR"/>
        </w:rPr>
        <w:t>»</w:t>
      </w:r>
      <w:r w:rsidRPr="0026787B">
        <w:rPr>
          <w:lang w:val="fr-FR"/>
        </w:rPr>
        <w:t>, des règles et pratiques internes des agences, des informations tout spécialement exonérées de divulgation par la loi</w:t>
      </w:r>
      <w:r w:rsidR="001946B9">
        <w:rPr>
          <w:rFonts w:ascii="Times New Roman" w:hAnsi="Times New Roman"/>
          <w:lang w:val="fr-FR"/>
        </w:rPr>
        <w:t> </w:t>
      </w:r>
      <w:r w:rsidRPr="0026787B">
        <w:rPr>
          <w:lang w:val="fr-FR"/>
        </w:rPr>
        <w:t xml:space="preserve">; des informations commerciales privées et secrètes, des informations privilégiées entre agences ou internes aux agences, des dossiers sur les </w:t>
      </w:r>
      <w:r w:rsidRPr="0026787B">
        <w:rPr>
          <w:lang w:val="fr-FR"/>
        </w:rPr>
        <w:lastRenderedPageBreak/>
        <w:t>personnels, des dossiers médicaux, ou d</w:t>
      </w:r>
      <w:r w:rsidR="00CB54AA" w:rsidRPr="0026787B">
        <w:rPr>
          <w:lang w:val="fr-FR"/>
        </w:rPr>
        <w:t>’</w:t>
      </w:r>
      <w:r w:rsidRPr="0026787B">
        <w:rPr>
          <w:lang w:val="fr-FR"/>
        </w:rPr>
        <w:t>autres dossiers similaires dont la communication constituerait clairement une intrusion injustifiée dans la vie privée</w:t>
      </w:r>
      <w:r w:rsidR="001946B9">
        <w:rPr>
          <w:rFonts w:ascii="Times New Roman" w:hAnsi="Times New Roman"/>
          <w:lang w:val="fr-FR"/>
        </w:rPr>
        <w:t> </w:t>
      </w:r>
      <w:r w:rsidRPr="0026787B">
        <w:rPr>
          <w:lang w:val="fr-FR"/>
        </w:rPr>
        <w:t>; des informations rassemblées à des fins d</w:t>
      </w:r>
      <w:r w:rsidR="00CB54AA" w:rsidRPr="0026787B">
        <w:rPr>
          <w:lang w:val="fr-FR"/>
        </w:rPr>
        <w:t>’</w:t>
      </w:r>
      <w:r w:rsidRPr="0026787B">
        <w:rPr>
          <w:lang w:val="fr-FR"/>
        </w:rPr>
        <w:t>application de la loi, des informations ayant trait à des rapports rédigés pour ou par une agence impliquée dans la réglementation d</w:t>
      </w:r>
      <w:r w:rsidR="00CB54AA" w:rsidRPr="0026787B">
        <w:rPr>
          <w:lang w:val="fr-FR"/>
        </w:rPr>
        <w:t>’</w:t>
      </w:r>
      <w:r w:rsidRPr="0026787B">
        <w:rPr>
          <w:lang w:val="fr-FR"/>
        </w:rPr>
        <w:t>institutions financières, et des informations géologiques concernant les puits.</w:t>
      </w:r>
      <w:r w:rsidRPr="0026787B">
        <w:rPr>
          <w:rStyle w:val="Appelnotedebasdep"/>
          <w:lang w:val="fr-FR"/>
        </w:rPr>
        <w:footnoteReference w:id="43"/>
      </w:r>
    </w:p>
    <w:p w14:paraId="4DD8266F" w14:textId="5008B680" w:rsidR="00CF5CC4" w:rsidRPr="0026787B" w:rsidRDefault="00CF5CC4" w:rsidP="008A6C99">
      <w:pPr>
        <w:rPr>
          <w:lang w:val="fr-FR"/>
        </w:rPr>
      </w:pPr>
      <w:r w:rsidRPr="0026787B">
        <w:rPr>
          <w:lang w:val="fr-FR"/>
        </w:rPr>
        <w:t>En plus des lois APA et FOIA, le Congrès a promulgué la loi fédérale sur les comités consultatifs (Federal Advisory Committee Act ou FACA),</w:t>
      </w:r>
      <w:r w:rsidRPr="0026787B">
        <w:rPr>
          <w:rStyle w:val="Appelnotedebasdep1"/>
          <w:lang w:val="fr-FR"/>
        </w:rPr>
        <w:footnoteReference w:id="44"/>
      </w:r>
      <w:r w:rsidRPr="0026787B">
        <w:rPr>
          <w:lang w:val="fr-FR"/>
        </w:rPr>
        <w:t xml:space="preserve"> la loi </w:t>
      </w:r>
      <w:r w:rsidR="00725D25">
        <w:rPr>
          <w:rFonts w:eastAsia="SimSun"/>
          <w:lang w:val="fr-FR"/>
        </w:rPr>
        <w:t>«</w:t>
      </w:r>
      <w:r w:rsidR="001946B9">
        <w:rPr>
          <w:rFonts w:ascii="Times New Roman" w:eastAsia="SimSun" w:hAnsi="Times New Roman"/>
          <w:lang w:val="fr-FR"/>
        </w:rPr>
        <w:t> </w:t>
      </w:r>
      <w:r w:rsidRPr="0026787B">
        <w:rPr>
          <w:lang w:val="fr-FR"/>
        </w:rPr>
        <w:t>Government in the Sunshine</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45"/>
      </w:r>
      <w:r w:rsidRPr="0026787B">
        <w:rPr>
          <w:lang w:val="fr-FR"/>
        </w:rPr>
        <w:t xml:space="preserve"> qui impose la publication des débats pour les décisions administratives, et des amendements à la loi FOIA.</w:t>
      </w:r>
      <w:r w:rsidRPr="0026787B">
        <w:rPr>
          <w:rStyle w:val="Appelnotedebasdep1"/>
          <w:lang w:val="fr-FR"/>
        </w:rPr>
        <w:footnoteReference w:id="46"/>
      </w:r>
      <w:r w:rsidRPr="0026787B">
        <w:rPr>
          <w:lang w:val="fr-FR"/>
        </w:rPr>
        <w:t xml:space="preserve"> Les deux premières lois visaient à permettre aux particuliers, aux organisations, aux associations, de comprendre le fonctionnement du gouvernement et de renforcer l</w:t>
      </w:r>
      <w:r w:rsidR="00CB54AA" w:rsidRPr="0026787B">
        <w:rPr>
          <w:lang w:val="fr-FR"/>
        </w:rPr>
        <w:t>’</w:t>
      </w:r>
      <w:r w:rsidRPr="0026787B">
        <w:rPr>
          <w:lang w:val="fr-FR"/>
        </w:rPr>
        <w:t xml:space="preserve">ouverture et la transparence gouvernementales. Il faut ajouter à cela le fait que les assemblées législatives de nombreux </w:t>
      </w:r>
      <w:r w:rsidR="001946B9">
        <w:rPr>
          <w:lang w:val="fr-FR"/>
        </w:rPr>
        <w:t>État</w:t>
      </w:r>
      <w:r w:rsidRPr="0026787B">
        <w:rPr>
          <w:lang w:val="fr-FR"/>
        </w:rPr>
        <w:t>s ont adopté leurs propres dispositions sur la communication de documents semblables aux dispositions de la loi FOIA.</w:t>
      </w:r>
      <w:r w:rsidRPr="0026787B">
        <w:rPr>
          <w:rStyle w:val="Appelnotedebasdep1"/>
          <w:lang w:val="fr-FR"/>
        </w:rPr>
        <w:footnoteReference w:id="47"/>
      </w:r>
      <w:r w:rsidR="00026722" w:rsidRPr="0026787B">
        <w:rPr>
          <w:lang w:val="fr-FR"/>
        </w:rPr>
        <w:t xml:space="preserve"> </w:t>
      </w:r>
    </w:p>
    <w:p w14:paraId="6184E3F9" w14:textId="37866565" w:rsidR="00CF5CC4" w:rsidRPr="0026787B" w:rsidRDefault="00CF5CC4" w:rsidP="00CF5CC4">
      <w:pPr>
        <w:rPr>
          <w:lang w:val="fr-FR"/>
        </w:rPr>
      </w:pPr>
      <w:r w:rsidRPr="0026787B">
        <w:rPr>
          <w:lang w:val="fr-FR"/>
        </w:rPr>
        <w:t>En dépit des avancées vers l</w:t>
      </w:r>
      <w:r w:rsidR="00CB54AA" w:rsidRPr="0026787B">
        <w:rPr>
          <w:lang w:val="fr-FR"/>
        </w:rPr>
        <w:t>’</w:t>
      </w:r>
      <w:r w:rsidRPr="0026787B">
        <w:rPr>
          <w:lang w:val="fr-FR"/>
        </w:rPr>
        <w:t xml:space="preserve">ouverture et la transparence gouvernementales survenues aux </w:t>
      </w:r>
      <w:r w:rsidR="00725D25">
        <w:rPr>
          <w:lang w:val="fr-FR"/>
        </w:rPr>
        <w:t>É</w:t>
      </w:r>
      <w:r w:rsidRPr="0026787B">
        <w:rPr>
          <w:lang w:val="fr-FR"/>
        </w:rPr>
        <w:t>tats-Unis, la possibilité donnée aux Américains de participer au processus gouvernemental est curieusement frappée d</w:t>
      </w:r>
      <w:r w:rsidR="00CB54AA" w:rsidRPr="0026787B">
        <w:rPr>
          <w:lang w:val="fr-FR"/>
        </w:rPr>
        <w:t>’</w:t>
      </w:r>
      <w:r w:rsidRPr="0026787B">
        <w:rPr>
          <w:lang w:val="fr-FR"/>
        </w:rPr>
        <w:t>un manque significatif de transparence. Plusieurs raisons de nature différente expliquent ces difficultés. Concernant la loi FOIA, par exemple, de nombreuses agences ne respectent pas totalement les termes de ladite loi,</w:t>
      </w:r>
      <w:r w:rsidRPr="0026787B">
        <w:rPr>
          <w:rStyle w:val="Caractresdenotedebasdepage"/>
          <w:lang w:val="fr-FR"/>
        </w:rPr>
        <w:footnoteReference w:id="48"/>
      </w:r>
      <w:r w:rsidRPr="0026787B">
        <w:rPr>
          <w:lang w:val="fr-FR"/>
        </w:rPr>
        <w:t xml:space="preserve"> en ne créant pas de catalogue des décisions qu</w:t>
      </w:r>
      <w:r w:rsidR="00CB54AA" w:rsidRPr="0026787B">
        <w:rPr>
          <w:lang w:val="fr-FR"/>
        </w:rPr>
        <w:t>’</w:t>
      </w:r>
      <w:r w:rsidRPr="0026787B">
        <w:rPr>
          <w:lang w:val="fr-FR"/>
        </w:rPr>
        <w:t>elles rendent,</w:t>
      </w:r>
      <w:r w:rsidRPr="0026787B">
        <w:rPr>
          <w:rStyle w:val="Appelnotedebasdep1"/>
          <w:lang w:val="fr-FR"/>
        </w:rPr>
        <w:footnoteReference w:id="49"/>
      </w:r>
      <w:r w:rsidRPr="0026787B">
        <w:rPr>
          <w:lang w:val="fr-FR"/>
        </w:rPr>
        <w:t xml:space="preserve"> en ne respectant pas les délais de production des documents prévus par la loi,</w:t>
      </w:r>
      <w:r w:rsidRPr="0026787B">
        <w:rPr>
          <w:rStyle w:val="Appelnotedebasdep1"/>
          <w:lang w:val="fr-FR"/>
        </w:rPr>
        <w:footnoteReference w:id="50"/>
      </w:r>
      <w:r w:rsidRPr="0026787B">
        <w:rPr>
          <w:lang w:val="fr-FR"/>
        </w:rPr>
        <w:t xml:space="preserve"> et en connaissant des </w:t>
      </w:r>
      <w:r w:rsidR="00725D25">
        <w:rPr>
          <w:rFonts w:eastAsia="SimSun"/>
          <w:lang w:val="fr-FR"/>
        </w:rPr>
        <w:t>«</w:t>
      </w:r>
      <w:r w:rsidR="001946B9">
        <w:rPr>
          <w:rFonts w:ascii="Times New Roman" w:eastAsia="SimSun" w:hAnsi="Times New Roman"/>
          <w:lang w:val="fr-FR"/>
        </w:rPr>
        <w:t> </w:t>
      </w:r>
      <w:r w:rsidRPr="0026787B">
        <w:rPr>
          <w:lang w:val="fr-FR"/>
        </w:rPr>
        <w:t xml:space="preserve">retards importants dans le traitement des demandes soumises dans le cadre de la loi </w:t>
      </w:r>
      <w:r w:rsidR="001946B9">
        <w:rPr>
          <w:lang w:val="fr-FR"/>
        </w:rPr>
        <w:t xml:space="preserve">– </w:t>
      </w:r>
      <w:r w:rsidRPr="0026787B">
        <w:rPr>
          <w:lang w:val="fr-FR"/>
        </w:rPr>
        <w:t>retards qui empêchent de rendre des décisions opportunes.</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51"/>
      </w:r>
      <w:r w:rsidRPr="0026787B">
        <w:rPr>
          <w:lang w:val="fr-FR"/>
        </w:rPr>
        <w:t xml:space="preserve"> Diverses raisons expliquent ces problèmes</w:t>
      </w:r>
      <w:r w:rsidR="00725D25">
        <w:rPr>
          <w:lang w:val="fr-FR"/>
        </w:rPr>
        <w:t> </w:t>
      </w:r>
      <w:r w:rsidRPr="0026787B">
        <w:rPr>
          <w:lang w:val="fr-FR"/>
        </w:rPr>
        <w:t>: entre autres, un manque de financement suffisant,</w:t>
      </w:r>
      <w:r w:rsidRPr="0026787B">
        <w:rPr>
          <w:rStyle w:val="Appelnotedebasdep1"/>
          <w:lang w:val="fr-FR"/>
        </w:rPr>
        <w:footnoteReference w:id="52"/>
      </w:r>
      <w:r w:rsidRPr="0026787B">
        <w:rPr>
          <w:lang w:val="fr-FR"/>
        </w:rPr>
        <w:t xml:space="preserve"> et une absence de mécanismes</w:t>
      </w:r>
      <w:r w:rsidRPr="0026787B">
        <w:rPr>
          <w:rStyle w:val="Appelnotedebasdep1"/>
          <w:lang w:val="fr-FR"/>
        </w:rPr>
        <w:footnoteReference w:id="53"/>
      </w:r>
      <w:r w:rsidRPr="0026787B">
        <w:rPr>
          <w:lang w:val="fr-FR"/>
        </w:rPr>
        <w:t xml:space="preserve"> dont le résultat est que le </w:t>
      </w:r>
      <w:r w:rsidR="00725D25">
        <w:rPr>
          <w:rFonts w:eastAsia="SimSun"/>
          <w:lang w:val="fr-FR"/>
        </w:rPr>
        <w:t>«</w:t>
      </w:r>
      <w:r w:rsidR="001946B9">
        <w:rPr>
          <w:rFonts w:ascii="Times New Roman" w:eastAsia="SimSun" w:hAnsi="Times New Roman"/>
          <w:lang w:val="fr-FR"/>
        </w:rPr>
        <w:t> </w:t>
      </w:r>
      <w:r w:rsidRPr="0026787B">
        <w:rPr>
          <w:lang w:val="fr-FR"/>
        </w:rPr>
        <w:t>public n</w:t>
      </w:r>
      <w:r w:rsidR="00CB54AA" w:rsidRPr="0026787B">
        <w:rPr>
          <w:lang w:val="fr-FR"/>
        </w:rPr>
        <w:t>’</w:t>
      </w:r>
      <w:r w:rsidRPr="0026787B">
        <w:rPr>
          <w:lang w:val="fr-FR"/>
        </w:rPr>
        <w:t>a aucun moyen efficace ni précis de connaître les informations que l</w:t>
      </w:r>
      <w:r w:rsidR="00CB54AA" w:rsidRPr="0026787B">
        <w:rPr>
          <w:lang w:val="fr-FR"/>
        </w:rPr>
        <w:t>’</w:t>
      </w:r>
      <w:r w:rsidRPr="0026787B">
        <w:rPr>
          <w:lang w:val="fr-FR"/>
        </w:rPr>
        <w:t>agence détient et [n</w:t>
      </w:r>
      <w:r w:rsidR="00CB54AA" w:rsidRPr="0026787B">
        <w:rPr>
          <w:lang w:val="fr-FR"/>
        </w:rPr>
        <w:t>’</w:t>
      </w:r>
      <w:r w:rsidRPr="0026787B">
        <w:rPr>
          <w:lang w:val="fr-FR"/>
        </w:rPr>
        <w:t>a aucune idée de] la manière dont les dossiers sont organisés, la durée de leur conservation, ou encore le lieu où ils sont stockés.</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54"/>
      </w:r>
      <w:r w:rsidRPr="0026787B">
        <w:rPr>
          <w:lang w:val="fr-FR"/>
        </w:rPr>
        <w:t xml:space="preserve"> Bien que le Congrès ait amendé la loi </w:t>
      </w:r>
      <w:r w:rsidRPr="0026787B">
        <w:rPr>
          <w:lang w:val="fr-FR"/>
        </w:rPr>
        <w:lastRenderedPageBreak/>
        <w:t>FOIA</w:t>
      </w:r>
      <w:r w:rsidRPr="0026787B">
        <w:rPr>
          <w:rStyle w:val="Appelnotedebasdep1"/>
          <w:lang w:val="fr-FR"/>
        </w:rPr>
        <w:footnoteReference w:id="55"/>
      </w:r>
      <w:r w:rsidRPr="0026787B">
        <w:rPr>
          <w:lang w:val="fr-FR"/>
        </w:rPr>
        <w:t xml:space="preserve"> dans le souci de résoudre certains de ces problèmes, de nombreuses difficultés subsistent.</w:t>
      </w:r>
      <w:r w:rsidRPr="0026787B">
        <w:rPr>
          <w:rStyle w:val="Appelnotedebasdep"/>
          <w:lang w:val="fr-FR"/>
        </w:rPr>
        <w:footnoteReference w:id="56"/>
      </w:r>
    </w:p>
    <w:p w14:paraId="79832661" w14:textId="0E10CCB5" w:rsidR="00CF5CC4" w:rsidRPr="005539A5" w:rsidRDefault="00026722" w:rsidP="0066766A">
      <w:pPr>
        <w:pStyle w:val="Titre1"/>
        <w:jc w:val="both"/>
        <w:rPr>
          <w:spacing w:val="-6"/>
          <w:lang w:val="fr-FR"/>
        </w:rPr>
      </w:pPr>
      <w:r w:rsidRPr="005539A5">
        <w:rPr>
          <w:spacing w:val="-6"/>
          <w:lang w:val="fr-FR"/>
        </w:rPr>
        <w:t>§ 2 – L</w:t>
      </w:r>
      <w:r w:rsidR="00CB54AA" w:rsidRPr="005539A5">
        <w:rPr>
          <w:spacing w:val="-6"/>
          <w:lang w:val="fr-FR"/>
        </w:rPr>
        <w:t>’</w:t>
      </w:r>
      <w:r w:rsidRPr="005539A5">
        <w:rPr>
          <w:spacing w:val="-6"/>
          <w:lang w:val="fr-FR"/>
        </w:rPr>
        <w:t xml:space="preserve">impact des </w:t>
      </w:r>
      <w:r w:rsidR="0063539C">
        <w:rPr>
          <w:spacing w:val="-6"/>
          <w:lang w:val="fr-FR"/>
        </w:rPr>
        <w:t>i</w:t>
      </w:r>
      <w:r w:rsidRPr="005539A5">
        <w:rPr>
          <w:spacing w:val="-6"/>
          <w:lang w:val="fr-FR"/>
        </w:rPr>
        <w:t xml:space="preserve">nnovations </w:t>
      </w:r>
      <w:r w:rsidR="0063539C">
        <w:rPr>
          <w:spacing w:val="-6"/>
          <w:lang w:val="fr-FR"/>
        </w:rPr>
        <w:t>numériques</w:t>
      </w:r>
      <w:r w:rsidRPr="005539A5">
        <w:rPr>
          <w:spacing w:val="-6"/>
          <w:lang w:val="fr-FR"/>
        </w:rPr>
        <w:t xml:space="preserve"> sur l</w:t>
      </w:r>
      <w:r w:rsidR="00CB54AA" w:rsidRPr="005539A5">
        <w:rPr>
          <w:spacing w:val="-6"/>
          <w:lang w:val="fr-FR"/>
        </w:rPr>
        <w:t>’</w:t>
      </w:r>
      <w:r w:rsidR="0063539C">
        <w:rPr>
          <w:spacing w:val="-6"/>
          <w:lang w:val="fr-FR"/>
        </w:rPr>
        <w:t>o</w:t>
      </w:r>
      <w:r w:rsidRPr="005539A5">
        <w:rPr>
          <w:spacing w:val="-6"/>
          <w:lang w:val="fr-FR"/>
        </w:rPr>
        <w:t xml:space="preserve">uverture et la </w:t>
      </w:r>
      <w:r w:rsidR="0063539C">
        <w:rPr>
          <w:spacing w:val="-6"/>
          <w:lang w:val="fr-FR"/>
        </w:rPr>
        <w:t>t</w:t>
      </w:r>
      <w:r w:rsidRPr="005539A5">
        <w:rPr>
          <w:spacing w:val="-6"/>
          <w:lang w:val="fr-FR"/>
        </w:rPr>
        <w:t>ransparence</w:t>
      </w:r>
    </w:p>
    <w:p w14:paraId="201694D1" w14:textId="09F1F691" w:rsidR="00CF5CC4" w:rsidRPr="0026787B" w:rsidRDefault="00CF5CC4" w:rsidP="00026722">
      <w:pPr>
        <w:rPr>
          <w:lang w:val="fr-FR"/>
        </w:rPr>
      </w:pPr>
      <w:r w:rsidRPr="0026787B">
        <w:rPr>
          <w:lang w:val="fr-FR"/>
        </w:rPr>
        <w:t>L</w:t>
      </w:r>
      <w:r w:rsidR="00CB54AA" w:rsidRPr="0026787B">
        <w:rPr>
          <w:lang w:val="fr-FR"/>
        </w:rPr>
        <w:t>’</w:t>
      </w:r>
      <w:r w:rsidRPr="0026787B">
        <w:rPr>
          <w:lang w:val="fr-FR"/>
        </w:rPr>
        <w:t>avènement de l</w:t>
      </w:r>
      <w:r w:rsidR="00CB54AA" w:rsidRPr="0026787B">
        <w:rPr>
          <w:lang w:val="fr-FR"/>
        </w:rPr>
        <w:t>’</w:t>
      </w:r>
      <w:r w:rsidRPr="0026787B">
        <w:rPr>
          <w:lang w:val="fr-FR"/>
        </w:rPr>
        <w:t>ère numérique a amélioré la transparence à de nombreux égards et a transformé les interactions entre le gouvernement américain et l</w:t>
      </w:r>
      <w:r w:rsidR="00CB54AA" w:rsidRPr="0026787B">
        <w:rPr>
          <w:lang w:val="fr-FR"/>
        </w:rPr>
        <w:t>’</w:t>
      </w:r>
      <w:r w:rsidRPr="0026787B">
        <w:rPr>
          <w:lang w:val="fr-FR"/>
        </w:rPr>
        <w:t>ensemble des citoyens. Le mouvement vers la numérisation s</w:t>
      </w:r>
      <w:r w:rsidR="00CB54AA" w:rsidRPr="0026787B">
        <w:rPr>
          <w:lang w:val="fr-FR"/>
        </w:rPr>
        <w:t>’</w:t>
      </w:r>
      <w:r w:rsidRPr="0026787B">
        <w:rPr>
          <w:lang w:val="fr-FR"/>
        </w:rPr>
        <w:t>est appuyé en partie sur la loi de réduction des formalités administratives votée en 1995 (Paperwork Reduction Act) suivie, trois ans plus tard, de la loi sur l</w:t>
      </w:r>
      <w:r w:rsidR="00CB54AA" w:rsidRPr="0026787B">
        <w:rPr>
          <w:lang w:val="fr-FR"/>
        </w:rPr>
        <w:t>’</w:t>
      </w:r>
      <w:r w:rsidRPr="0026787B">
        <w:rPr>
          <w:lang w:val="fr-FR"/>
        </w:rPr>
        <w:t>élimination de la documentation papier du gouvernement (Government Paper Elimination Act, 1998), lesquelles demandaient aux agences gouvernementales de réduire leur utilisation de papier.</w:t>
      </w:r>
      <w:r w:rsidRPr="0026787B">
        <w:rPr>
          <w:rStyle w:val="Appelnotedebasdep1"/>
          <w:lang w:val="fr-FR"/>
        </w:rPr>
        <w:footnoteReference w:id="57"/>
      </w:r>
      <w:r w:rsidRPr="0026787B">
        <w:rPr>
          <w:lang w:val="fr-FR"/>
        </w:rPr>
        <w:t xml:space="preserve"> Toutefois, le mouvement a également été encouragé au motif qu</w:t>
      </w:r>
      <w:r w:rsidR="00CB54AA" w:rsidRPr="0026787B">
        <w:rPr>
          <w:lang w:val="fr-FR"/>
        </w:rPr>
        <w:t>’</w:t>
      </w:r>
      <w:r w:rsidRPr="0026787B">
        <w:rPr>
          <w:lang w:val="fr-FR"/>
        </w:rPr>
        <w:t>il a un impact certain sur les relations entre le gouvernement et les citoyens.</w:t>
      </w:r>
      <w:r w:rsidRPr="0026787B">
        <w:rPr>
          <w:rStyle w:val="Appelnotedebasdep1"/>
          <w:lang w:val="fr-FR"/>
        </w:rPr>
        <w:footnoteReference w:id="58"/>
      </w:r>
      <w:r w:rsidR="00026722" w:rsidRPr="0026787B">
        <w:rPr>
          <w:lang w:val="fr-FR"/>
        </w:rPr>
        <w:t xml:space="preserve"> La numérisation a accru </w:t>
      </w:r>
      <w:r w:rsidR="00725D25">
        <w:rPr>
          <w:lang w:val="fr-FR"/>
        </w:rPr>
        <w:t>«</w:t>
      </w:r>
      <w:r w:rsidR="001946B9">
        <w:rPr>
          <w:rFonts w:ascii="Times New Roman" w:hAnsi="Times New Roman"/>
          <w:lang w:val="fr-FR"/>
        </w:rPr>
        <w:t> </w:t>
      </w:r>
      <w:r w:rsidRPr="0026787B">
        <w:rPr>
          <w:lang w:val="fr-FR"/>
        </w:rPr>
        <w:t>la participation citoyenne à travers le vote électronique, les assemblées publiques virtuelles, les cybercampagnes, les sondages sur les réactions du public, les enquêtes publiques, les forums communautaires, et l</w:t>
      </w:r>
      <w:r w:rsidR="00CB54AA" w:rsidRPr="0026787B">
        <w:rPr>
          <w:lang w:val="fr-FR"/>
        </w:rPr>
        <w:t>’</w:t>
      </w:r>
      <w:r w:rsidRPr="0026787B">
        <w:rPr>
          <w:lang w:val="fr-FR"/>
        </w:rPr>
        <w:t>accès aux ordres du jour et comptes rendus de réunions.</w:t>
      </w:r>
      <w:r w:rsidR="001946B9">
        <w:rPr>
          <w:rFonts w:ascii="Times New Roman" w:hAnsi="Times New Roman"/>
          <w:lang w:val="fr-FR"/>
        </w:rPr>
        <w:t> </w:t>
      </w:r>
      <w:r w:rsidR="0063539C">
        <w:rPr>
          <w:lang w:val="fr-FR"/>
        </w:rPr>
        <w:t>»</w:t>
      </w:r>
      <w:r w:rsidRPr="0026787B">
        <w:rPr>
          <w:rStyle w:val="Appelnotedebasdep1"/>
          <w:rFonts w:eastAsia="SimSun"/>
          <w:lang w:val="fr-FR"/>
        </w:rPr>
        <w:footnoteReference w:id="59"/>
      </w:r>
      <w:r w:rsidRPr="0026787B">
        <w:rPr>
          <w:lang w:val="fr-FR"/>
        </w:rPr>
        <w:t xml:space="preserve"> En d</w:t>
      </w:r>
      <w:r w:rsidR="00CB54AA" w:rsidRPr="0026787B">
        <w:rPr>
          <w:lang w:val="fr-FR"/>
        </w:rPr>
        <w:t>’</w:t>
      </w:r>
      <w:r w:rsidRPr="0026787B">
        <w:rPr>
          <w:lang w:val="fr-FR"/>
        </w:rPr>
        <w:t xml:space="preserve">autres termes, </w:t>
      </w:r>
      <w:r w:rsidR="0063539C">
        <w:rPr>
          <w:rFonts w:eastAsia="SimSun"/>
          <w:lang w:val="fr-FR"/>
        </w:rPr>
        <w:t>«</w:t>
      </w:r>
      <w:r w:rsidR="001946B9">
        <w:rPr>
          <w:rFonts w:ascii="Times New Roman" w:eastAsia="SimSun" w:hAnsi="Times New Roman"/>
          <w:lang w:val="fr-FR"/>
        </w:rPr>
        <w:t> </w:t>
      </w:r>
      <w:r w:rsidRPr="0026787B">
        <w:rPr>
          <w:lang w:val="fr-FR"/>
        </w:rPr>
        <w:t>les initiatives qui découlent des technologies de l</w:t>
      </w:r>
      <w:r w:rsidR="00CB54AA" w:rsidRPr="0026787B">
        <w:rPr>
          <w:lang w:val="fr-FR"/>
        </w:rPr>
        <w:t>’</w:t>
      </w:r>
      <w:r w:rsidRPr="0026787B">
        <w:rPr>
          <w:lang w:val="fr-FR"/>
        </w:rPr>
        <w:t>information, désormais connues sous l</w:t>
      </w:r>
      <w:r w:rsidR="00CB54AA" w:rsidRPr="0026787B">
        <w:rPr>
          <w:lang w:val="fr-FR"/>
        </w:rPr>
        <w:t>’</w:t>
      </w:r>
      <w:r w:rsidRPr="0026787B">
        <w:rPr>
          <w:lang w:val="fr-FR"/>
        </w:rPr>
        <w:t>appellation de gouvernement électronique, modifient la manière dont le secteur public fonctionne et interagit avec les citoyens, les entreprises, et les autres gouvernements.</w:t>
      </w:r>
      <w:r w:rsidR="001946B9">
        <w:rPr>
          <w:rFonts w:ascii="Times New Roman" w:eastAsia="SimSun" w:hAnsi="Times New Roman"/>
          <w:lang w:val="fr-FR"/>
        </w:rPr>
        <w:t> </w:t>
      </w:r>
      <w:r w:rsidR="001946B9">
        <w:rPr>
          <w:rFonts w:eastAsia="SimSun"/>
          <w:lang w:val="fr-FR"/>
        </w:rPr>
        <w:t>»</w:t>
      </w:r>
      <w:r w:rsidRPr="0026787B">
        <w:rPr>
          <w:rStyle w:val="Appelnotedebasdep1"/>
          <w:rFonts w:eastAsia="SimSun"/>
          <w:lang w:val="fr-FR"/>
        </w:rPr>
        <w:footnoteReference w:id="60"/>
      </w:r>
      <w:r w:rsidRPr="0026787B">
        <w:rPr>
          <w:lang w:val="fr-FR"/>
        </w:rPr>
        <w:t> </w:t>
      </w:r>
    </w:p>
    <w:p w14:paraId="4DF58DA6" w14:textId="5FF79A18" w:rsidR="00CF5CC4" w:rsidRPr="0026787B" w:rsidRDefault="00CF5CC4" w:rsidP="00026722">
      <w:pPr>
        <w:rPr>
          <w:lang w:val="fr-FR"/>
        </w:rPr>
      </w:pPr>
      <w:r w:rsidRPr="0026787B">
        <w:rPr>
          <w:lang w:val="fr-FR"/>
        </w:rPr>
        <w:t>Les sites web du gouvernement illustrent parfaitement l</w:t>
      </w:r>
      <w:r w:rsidR="00CB54AA" w:rsidRPr="0026787B">
        <w:rPr>
          <w:lang w:val="fr-FR"/>
        </w:rPr>
        <w:t>’</w:t>
      </w:r>
      <w:r w:rsidRPr="0026787B">
        <w:rPr>
          <w:lang w:val="fr-FR"/>
        </w:rPr>
        <w:t>impact et la portée de la numérisation. La loi de 2002 sur le gouvernement électronique (E-Government Act) prévoyait que les agences fédérales gèrent des sites web comprenant différentes catégories d</w:t>
      </w:r>
      <w:r w:rsidR="00CB54AA" w:rsidRPr="0026787B">
        <w:rPr>
          <w:lang w:val="fr-FR"/>
        </w:rPr>
        <w:t>’</w:t>
      </w:r>
      <w:r w:rsidRPr="0026787B">
        <w:rPr>
          <w:lang w:val="fr-FR"/>
        </w:rPr>
        <w:t>informations.</w:t>
      </w:r>
      <w:r w:rsidRPr="0026787B">
        <w:rPr>
          <w:rStyle w:val="Appelnotedebasdep1"/>
          <w:lang w:val="fr-FR"/>
        </w:rPr>
        <w:footnoteReference w:id="61"/>
      </w:r>
      <w:r w:rsidRPr="0026787B">
        <w:rPr>
          <w:lang w:val="fr-FR"/>
        </w:rPr>
        <w:t xml:space="preserve"> Selon un commentateur, cette loi a conduit à la création de quelque 10</w:t>
      </w:r>
      <w:r w:rsidR="001946B9">
        <w:rPr>
          <w:rFonts w:ascii="Times New Roman" w:hAnsi="Times New Roman"/>
          <w:lang w:val="fr-FR"/>
        </w:rPr>
        <w:t> </w:t>
      </w:r>
      <w:r w:rsidRPr="0026787B">
        <w:rPr>
          <w:lang w:val="fr-FR"/>
        </w:rPr>
        <w:t>000 sites web gouvernementaux tant au niveau fédéral qu</w:t>
      </w:r>
      <w:r w:rsidR="00CB54AA" w:rsidRPr="0026787B">
        <w:rPr>
          <w:lang w:val="fr-FR"/>
        </w:rPr>
        <w:t>’</w:t>
      </w:r>
      <w:r w:rsidRPr="0026787B">
        <w:rPr>
          <w:lang w:val="fr-FR"/>
        </w:rPr>
        <w:t xml:space="preserve">au niveau des gouvernements de chaque </w:t>
      </w:r>
      <w:r w:rsidR="001946B9">
        <w:rPr>
          <w:lang w:val="fr-FR"/>
        </w:rPr>
        <w:t>É</w:t>
      </w:r>
      <w:r w:rsidRPr="0026787B">
        <w:rPr>
          <w:lang w:val="fr-FR"/>
        </w:rPr>
        <w:t>tat, et au niveau des gouvernements locaux.</w:t>
      </w:r>
      <w:r w:rsidRPr="0026787B">
        <w:rPr>
          <w:rStyle w:val="Appelnotedebasdep1"/>
          <w:lang w:val="fr-FR"/>
        </w:rPr>
        <w:footnoteReference w:id="62"/>
      </w:r>
      <w:r w:rsidRPr="0026787B">
        <w:rPr>
          <w:lang w:val="fr-FR"/>
        </w:rPr>
        <w:t xml:space="preserve"> Ces sites web fournissent plusieurs types d</w:t>
      </w:r>
      <w:r w:rsidR="00CB54AA" w:rsidRPr="0026787B">
        <w:rPr>
          <w:lang w:val="fr-FR"/>
        </w:rPr>
        <w:t>’</w:t>
      </w:r>
      <w:r w:rsidRPr="0026787B">
        <w:rPr>
          <w:lang w:val="fr-FR"/>
        </w:rPr>
        <w:t xml:space="preserve">informations différentes dont </w:t>
      </w:r>
      <w:r w:rsidR="006B0B97">
        <w:rPr>
          <w:rFonts w:eastAsia="SimSun"/>
          <w:lang w:val="fr-FR"/>
        </w:rPr>
        <w:t>«</w:t>
      </w:r>
      <w:r w:rsidR="001946B9">
        <w:rPr>
          <w:rFonts w:ascii="Times New Roman" w:eastAsia="SimSun" w:hAnsi="Times New Roman"/>
          <w:lang w:val="fr-FR"/>
        </w:rPr>
        <w:t> </w:t>
      </w:r>
      <w:r w:rsidRPr="0026787B">
        <w:rPr>
          <w:lang w:val="fr-FR"/>
        </w:rPr>
        <w:t xml:space="preserve">les noms des représentants du gouvernement, les adresses et numéros de téléphone des agences, les publications en ligne, les adresses email, </w:t>
      </w:r>
      <w:r w:rsidRPr="0026787B">
        <w:rPr>
          <w:lang w:val="fr-FR"/>
        </w:rPr>
        <w:lastRenderedPageBreak/>
        <w:t>de même que d</w:t>
      </w:r>
      <w:r w:rsidR="00CB54AA" w:rsidRPr="0026787B">
        <w:rPr>
          <w:lang w:val="fr-FR"/>
        </w:rPr>
        <w:t>’</w:t>
      </w:r>
      <w:r w:rsidRPr="0026787B">
        <w:rPr>
          <w:lang w:val="fr-FR"/>
        </w:rPr>
        <w:t>autres éléments qui ont trait à telle ou telle entité gouvernementale spécifique.</w:t>
      </w:r>
      <w:r w:rsidR="001946B9">
        <w:rPr>
          <w:rFonts w:ascii="Times New Roman" w:eastAsia="SimSun" w:hAnsi="Times New Roman"/>
          <w:lang w:val="fr-FR"/>
        </w:rPr>
        <w:t> </w:t>
      </w:r>
      <w:r w:rsidR="006B0B97">
        <w:rPr>
          <w:rFonts w:eastAsia="SimSun"/>
          <w:lang w:val="fr-FR"/>
        </w:rPr>
        <w:t>»</w:t>
      </w:r>
      <w:r w:rsidRPr="0026787B">
        <w:rPr>
          <w:rStyle w:val="Appelnotedebasdep"/>
          <w:rFonts w:eastAsia="SimSun"/>
          <w:lang w:val="fr-FR"/>
        </w:rPr>
        <w:footnoteReference w:id="63"/>
      </w:r>
    </w:p>
    <w:p w14:paraId="4178D8EF" w14:textId="36C9036A" w:rsidR="00CF5CC4" w:rsidRPr="0026787B" w:rsidRDefault="00CF5CC4" w:rsidP="008A6C99">
      <w:pPr>
        <w:rPr>
          <w:lang w:val="fr-FR"/>
        </w:rPr>
      </w:pPr>
      <w:r w:rsidRPr="0026787B">
        <w:rPr>
          <w:lang w:val="fr-FR"/>
        </w:rPr>
        <w:t xml:space="preserve">Le gouvernement fédéral utilise à présent des sites web pour publier de nombreuses informations diverses et variées. </w:t>
      </w:r>
      <w:r w:rsidR="006B0B97">
        <w:rPr>
          <w:lang w:val="fr-FR"/>
        </w:rPr>
        <w:t>À</w:t>
      </w:r>
      <w:r w:rsidRPr="0026787B">
        <w:rPr>
          <w:lang w:val="fr-FR"/>
        </w:rPr>
        <w:t xml:space="preserve"> titre d</w:t>
      </w:r>
      <w:r w:rsidR="00CB54AA" w:rsidRPr="0026787B">
        <w:rPr>
          <w:lang w:val="fr-FR"/>
        </w:rPr>
        <w:t>’</w:t>
      </w:r>
      <w:r w:rsidRPr="0026787B">
        <w:rPr>
          <w:lang w:val="fr-FR"/>
        </w:rPr>
        <w:t xml:space="preserve">exemple, les cours fédérales ont </w:t>
      </w:r>
      <w:r w:rsidR="001946B9">
        <w:rPr>
          <w:rFonts w:eastAsia="SimSun"/>
          <w:lang w:val="fr-FR"/>
        </w:rPr>
        <w:t>«</w:t>
      </w:r>
      <w:r w:rsidR="001946B9">
        <w:rPr>
          <w:rFonts w:ascii="Times New Roman" w:eastAsia="SimSun" w:hAnsi="Times New Roman"/>
          <w:lang w:val="fr-FR"/>
        </w:rPr>
        <w:t> </w:t>
      </w:r>
      <w:r w:rsidRPr="0026787B">
        <w:rPr>
          <w:lang w:val="fr-FR"/>
        </w:rPr>
        <w:t>mis en place un système d</w:t>
      </w:r>
      <w:r w:rsidR="00CB54AA" w:rsidRPr="0026787B">
        <w:rPr>
          <w:lang w:val="fr-FR"/>
        </w:rPr>
        <w:t>’</w:t>
      </w:r>
      <w:r w:rsidRPr="0026787B">
        <w:rPr>
          <w:lang w:val="fr-FR"/>
        </w:rPr>
        <w:t>accès public aux archives électroniques des tribunaux (Public Access to Court Electronic Records ou PACER)</w:t>
      </w:r>
      <w:r w:rsidR="001946B9">
        <w:rPr>
          <w:rFonts w:ascii="Times New Roman" w:eastAsia="SimSun" w:hAnsi="Times New Roman"/>
          <w:lang w:val="fr-FR"/>
        </w:rPr>
        <w:t> </w:t>
      </w:r>
      <w:r w:rsidR="001946B9">
        <w:rPr>
          <w:rFonts w:eastAsia="SimSun"/>
          <w:lang w:val="fr-FR"/>
        </w:rPr>
        <w:t>»</w:t>
      </w:r>
      <w:r w:rsidRPr="0026787B">
        <w:rPr>
          <w:rStyle w:val="Appelnotedebasdep1"/>
          <w:rFonts w:eastAsia="SimSun"/>
          <w:lang w:val="fr-FR"/>
        </w:rPr>
        <w:footnoteReference w:id="64"/>
      </w:r>
      <w:r w:rsidRPr="0026787B">
        <w:rPr>
          <w:lang w:val="fr-FR"/>
        </w:rPr>
        <w:t xml:space="preserve"> et le Congrès a créé le site Congress.gov</w:t>
      </w:r>
      <w:r w:rsidRPr="0026787B">
        <w:rPr>
          <w:rStyle w:val="Appelnotedebasdep1"/>
          <w:lang w:val="fr-FR"/>
        </w:rPr>
        <w:footnoteReference w:id="65"/>
      </w:r>
      <w:r w:rsidRPr="0026787B">
        <w:rPr>
          <w:lang w:val="fr-FR"/>
        </w:rPr>
        <w:t xml:space="preserve"> qui publie désormais sous forme électronique chaque loi présentée devant le Congrès de même que d</w:t>
      </w:r>
      <w:r w:rsidR="00CB54AA" w:rsidRPr="0026787B">
        <w:rPr>
          <w:lang w:val="fr-FR"/>
        </w:rPr>
        <w:t>’</w:t>
      </w:r>
      <w:r w:rsidRPr="0026787B">
        <w:rPr>
          <w:lang w:val="fr-FR"/>
        </w:rPr>
        <w:t>autres informations relatives aux activités de cette institution.</w:t>
      </w:r>
      <w:r w:rsidRPr="0026787B">
        <w:rPr>
          <w:rStyle w:val="Appelnotedebasdep1"/>
          <w:lang w:val="fr-FR"/>
        </w:rPr>
        <w:footnoteReference w:id="66"/>
      </w:r>
      <w:r w:rsidRPr="0026787B">
        <w:rPr>
          <w:lang w:val="fr-FR"/>
        </w:rPr>
        <w:t xml:space="preserve"> D</w:t>
      </w:r>
      <w:r w:rsidR="00CB54AA" w:rsidRPr="0026787B">
        <w:rPr>
          <w:lang w:val="fr-FR"/>
        </w:rPr>
        <w:t>’</w:t>
      </w:r>
      <w:r w:rsidRPr="0026787B">
        <w:rPr>
          <w:lang w:val="fr-FR"/>
        </w:rPr>
        <w:t>autres sites web s</w:t>
      </w:r>
      <w:r w:rsidR="00CB54AA" w:rsidRPr="0026787B">
        <w:rPr>
          <w:lang w:val="fr-FR"/>
        </w:rPr>
        <w:t>’</w:t>
      </w:r>
      <w:r w:rsidRPr="0026787B">
        <w:rPr>
          <w:lang w:val="fr-FR"/>
        </w:rPr>
        <w:t>occupent de questions particulières. On peut citer la loi fédérale sur la transparence et la responsabilité en matière de financement (Federal Funding Accountability and Transparency Act ou FFTA) et la loi de 2009 sur le remboursement et les nouveaux investissements américains (American Recovery and Reinvestment Act) qui rendent obligatoire la divulgation d</w:t>
      </w:r>
      <w:r w:rsidR="00CB54AA" w:rsidRPr="0026787B">
        <w:rPr>
          <w:lang w:val="fr-FR"/>
        </w:rPr>
        <w:t>’</w:t>
      </w:r>
      <w:r w:rsidRPr="0026787B">
        <w:rPr>
          <w:lang w:val="fr-FR"/>
        </w:rPr>
        <w:t xml:space="preserve">informations sur </w:t>
      </w:r>
      <w:r w:rsidR="00C91AD1">
        <w:rPr>
          <w:lang w:val="fr-FR"/>
        </w:rPr>
        <w:t>«</w:t>
      </w:r>
      <w:r w:rsidR="001946B9">
        <w:rPr>
          <w:rFonts w:ascii="Times New Roman" w:hAnsi="Times New Roman"/>
          <w:lang w:val="fr-FR"/>
        </w:rPr>
        <w:t> </w:t>
      </w:r>
      <w:r w:rsidRPr="0026787B">
        <w:rPr>
          <w:lang w:val="fr-FR"/>
        </w:rPr>
        <w:t>les données relatives aux dépenses du gouvernement par souci de mieux contrôler le gaspillage, la fraude, et les abus commis par ce dernier.</w:t>
      </w:r>
      <w:r w:rsidR="001946B9">
        <w:rPr>
          <w:rFonts w:ascii="Times New Roman" w:eastAsia="SimSun" w:hAnsi="Times New Roman"/>
          <w:lang w:val="fr-FR"/>
        </w:rPr>
        <w:t> </w:t>
      </w:r>
      <w:r w:rsidR="00C91AD1">
        <w:rPr>
          <w:rFonts w:eastAsia="SimSun"/>
          <w:lang w:val="fr-FR"/>
        </w:rPr>
        <w:t>»</w:t>
      </w:r>
      <w:r w:rsidRPr="0026787B">
        <w:rPr>
          <w:rStyle w:val="Appelnotedebasdep1"/>
          <w:rFonts w:eastAsia="SimSun"/>
          <w:lang w:val="fr-FR"/>
        </w:rPr>
        <w:footnoteReference w:id="67"/>
      </w:r>
      <w:r w:rsidR="00026722" w:rsidRPr="0026787B">
        <w:rPr>
          <w:rFonts w:eastAsia="SimSun"/>
          <w:lang w:val="fr-FR"/>
        </w:rPr>
        <w:t xml:space="preserve"> </w:t>
      </w:r>
      <w:r w:rsidRPr="0026787B">
        <w:rPr>
          <w:lang w:val="fr-FR"/>
        </w:rPr>
        <w:t>Ces lois ont conduit à la création de USASpending.gov</w:t>
      </w:r>
      <w:r w:rsidRPr="0026787B">
        <w:rPr>
          <w:rStyle w:val="Appelnotedebasdep1"/>
          <w:lang w:val="fr-FR"/>
        </w:rPr>
        <w:footnoteReference w:id="68"/>
      </w:r>
      <w:r w:rsidRPr="0026787B">
        <w:rPr>
          <w:lang w:val="fr-FR"/>
        </w:rPr>
        <w:t xml:space="preserve"> et Recovery.gov,</w:t>
      </w:r>
      <w:r w:rsidRPr="0026787B">
        <w:rPr>
          <w:rStyle w:val="Appelnotedebasdep1"/>
          <w:lang w:val="fr-FR"/>
        </w:rPr>
        <w:footnoteReference w:id="69"/>
      </w:r>
      <w:r w:rsidRPr="0026787B">
        <w:rPr>
          <w:lang w:val="fr-FR"/>
        </w:rPr>
        <w:t xml:space="preserve"> </w:t>
      </w:r>
      <w:r w:rsidR="00C91AD1">
        <w:rPr>
          <w:rFonts w:eastAsia="SimSun"/>
          <w:lang w:val="fr-FR"/>
        </w:rPr>
        <w:t>«</w:t>
      </w:r>
      <w:r w:rsidR="001946B9">
        <w:rPr>
          <w:rFonts w:ascii="Times New Roman" w:eastAsia="SimSun" w:hAnsi="Times New Roman"/>
          <w:lang w:val="fr-FR"/>
        </w:rPr>
        <w:t> </w:t>
      </w:r>
      <w:r w:rsidRPr="0026787B">
        <w:rPr>
          <w:lang w:val="fr-FR"/>
        </w:rPr>
        <w:t>des sites web qui permettent au public d</w:t>
      </w:r>
      <w:r w:rsidR="00CB54AA" w:rsidRPr="0026787B">
        <w:rPr>
          <w:lang w:val="fr-FR"/>
        </w:rPr>
        <w:t>’</w:t>
      </w:r>
      <w:r w:rsidRPr="0026787B">
        <w:rPr>
          <w:lang w:val="fr-FR"/>
        </w:rPr>
        <w:t>accéder à et de rechercher des informations rassemblées par les agences fédérales sur les dépenses du gouvernement.</w:t>
      </w:r>
      <w:r w:rsidR="001946B9">
        <w:rPr>
          <w:rFonts w:ascii="Times New Roman" w:eastAsia="SimSun" w:hAnsi="Times New Roman"/>
          <w:lang w:val="fr-FR"/>
        </w:rPr>
        <w:t> </w:t>
      </w:r>
      <w:r w:rsidR="00C91AD1">
        <w:rPr>
          <w:rFonts w:eastAsia="SimSun"/>
          <w:lang w:val="fr-FR"/>
        </w:rPr>
        <w:t>»</w:t>
      </w:r>
      <w:r w:rsidRPr="0026787B">
        <w:rPr>
          <w:rStyle w:val="Appelnotedebasdep1"/>
          <w:rFonts w:eastAsia="SimSun"/>
          <w:lang w:val="fr-FR"/>
        </w:rPr>
        <w:footnoteReference w:id="70"/>
      </w:r>
      <w:r w:rsidRPr="0026787B">
        <w:rPr>
          <w:lang w:val="fr-FR"/>
        </w:rPr>
        <w:t xml:space="preserve"> Par ailleurs, Grants.gov</w:t>
      </w:r>
      <w:r w:rsidRPr="0026787B">
        <w:rPr>
          <w:rStyle w:val="Appelnotedebasdep1"/>
          <w:lang w:val="fr-FR"/>
        </w:rPr>
        <w:footnoteReference w:id="71"/>
      </w:r>
      <w:r w:rsidRPr="0026787B">
        <w:rPr>
          <w:lang w:val="fr-FR"/>
        </w:rPr>
        <w:t xml:space="preserve"> </w:t>
      </w:r>
      <w:r w:rsidR="00C91AD1">
        <w:rPr>
          <w:rFonts w:eastAsia="SimSun"/>
          <w:lang w:val="fr-FR"/>
        </w:rPr>
        <w:t>«</w:t>
      </w:r>
      <w:r w:rsidR="001946B9">
        <w:rPr>
          <w:rFonts w:ascii="Times New Roman" w:eastAsia="SimSun" w:hAnsi="Times New Roman"/>
          <w:lang w:val="fr-FR"/>
        </w:rPr>
        <w:t> </w:t>
      </w:r>
      <w:r w:rsidRPr="0026787B">
        <w:rPr>
          <w:lang w:val="fr-FR"/>
        </w:rPr>
        <w:t>fournit au public une banque centrale d</w:t>
      </w:r>
      <w:r w:rsidR="00CB54AA" w:rsidRPr="0026787B">
        <w:rPr>
          <w:lang w:val="fr-FR"/>
        </w:rPr>
        <w:t>’</w:t>
      </w:r>
      <w:r w:rsidRPr="0026787B">
        <w:rPr>
          <w:lang w:val="fr-FR"/>
        </w:rPr>
        <w:t>informations sur les opportunités de subventions et de contrats auprès de toutes les agences fédérales.</w:t>
      </w:r>
      <w:r w:rsidR="001946B9">
        <w:rPr>
          <w:rFonts w:ascii="Times New Roman" w:eastAsia="SimSun" w:hAnsi="Times New Roman"/>
          <w:lang w:val="fr-FR"/>
        </w:rPr>
        <w:t> </w:t>
      </w:r>
      <w:r w:rsidR="00C91AD1">
        <w:rPr>
          <w:rFonts w:eastAsia="SimSun"/>
          <w:lang w:val="fr-FR"/>
        </w:rPr>
        <w:t>»</w:t>
      </w:r>
      <w:r w:rsidRPr="0026787B">
        <w:rPr>
          <w:rStyle w:val="Appelnotedebasdep1"/>
          <w:rFonts w:eastAsia="SimSun"/>
          <w:lang w:val="fr-FR"/>
        </w:rPr>
        <w:footnoteReference w:id="72"/>
      </w:r>
      <w:r w:rsidRPr="0026787B">
        <w:rPr>
          <w:lang w:val="fr-FR"/>
        </w:rPr>
        <w:t xml:space="preserve"> La loi FFTA de 2006 qui est également reliée au site USASpending.gov permet au public de </w:t>
      </w:r>
      <w:r w:rsidR="00C91AD1">
        <w:rPr>
          <w:rFonts w:eastAsia="SimSun"/>
          <w:lang w:val="fr-FR"/>
        </w:rPr>
        <w:t>«</w:t>
      </w:r>
      <w:r w:rsidR="001946B9">
        <w:rPr>
          <w:rFonts w:ascii="Times New Roman" w:eastAsia="SimSun" w:hAnsi="Times New Roman"/>
          <w:lang w:val="fr-FR"/>
        </w:rPr>
        <w:t> </w:t>
      </w:r>
      <w:r w:rsidRPr="0026787B">
        <w:rPr>
          <w:lang w:val="fr-FR"/>
        </w:rPr>
        <w:t>consulter, rassembler, et évaluer les informations fournies par les bénéficiaires de l</w:t>
      </w:r>
      <w:r w:rsidR="00CB54AA" w:rsidRPr="0026787B">
        <w:rPr>
          <w:lang w:val="fr-FR"/>
        </w:rPr>
        <w:t>’</w:t>
      </w:r>
      <w:r w:rsidRPr="0026787B">
        <w:rPr>
          <w:lang w:val="fr-FR"/>
        </w:rPr>
        <w:t>argent et des contrats publics</w:t>
      </w:r>
      <w:r w:rsidR="001946B9">
        <w:rPr>
          <w:rFonts w:ascii="Times New Roman" w:eastAsia="SimSun" w:hAnsi="Times New Roman"/>
          <w:lang w:val="fr-FR"/>
        </w:rPr>
        <w:t> </w:t>
      </w:r>
      <w:r w:rsidR="00C91AD1">
        <w:rPr>
          <w:rFonts w:eastAsia="SimSun"/>
          <w:lang w:val="fr-FR"/>
        </w:rPr>
        <w:t>»</w:t>
      </w:r>
      <w:r w:rsidRPr="0026787B">
        <w:rPr>
          <w:lang w:val="fr-FR"/>
        </w:rPr>
        <w:t xml:space="preserve"> et, par là</w:t>
      </w:r>
      <w:r w:rsidR="0063539C">
        <w:rPr>
          <w:lang w:val="fr-FR"/>
        </w:rPr>
        <w:t xml:space="preserve"> </w:t>
      </w:r>
      <w:r w:rsidRPr="0026787B">
        <w:rPr>
          <w:lang w:val="fr-FR"/>
        </w:rPr>
        <w:t xml:space="preserve">même, rechercher </w:t>
      </w:r>
      <w:r w:rsidR="00C91AD1">
        <w:rPr>
          <w:rFonts w:eastAsia="SimSun"/>
          <w:lang w:val="fr-FR"/>
        </w:rPr>
        <w:t>«</w:t>
      </w:r>
      <w:r w:rsidR="001946B9">
        <w:rPr>
          <w:rFonts w:ascii="Times New Roman" w:eastAsia="SimSun" w:hAnsi="Times New Roman"/>
          <w:lang w:val="fr-FR"/>
        </w:rPr>
        <w:t> </w:t>
      </w:r>
      <w:r w:rsidRPr="0026787B">
        <w:rPr>
          <w:lang w:val="fr-FR"/>
        </w:rPr>
        <w:t>le gaspillage et les dépenses inefficaces du gouvernement fédéral.</w:t>
      </w:r>
      <w:r w:rsidR="001946B9">
        <w:rPr>
          <w:rFonts w:ascii="Times New Roman" w:eastAsia="SimSun" w:hAnsi="Times New Roman"/>
          <w:lang w:val="fr-FR"/>
        </w:rPr>
        <w:t> </w:t>
      </w:r>
      <w:r w:rsidR="00C91AD1">
        <w:rPr>
          <w:rFonts w:eastAsia="SimSun"/>
          <w:lang w:val="fr-FR"/>
        </w:rPr>
        <w:t>»</w:t>
      </w:r>
      <w:r w:rsidRPr="0026787B">
        <w:rPr>
          <w:rStyle w:val="Appelnotedebasdep1"/>
          <w:rFonts w:eastAsia="SimSun"/>
          <w:lang w:val="fr-FR"/>
        </w:rPr>
        <w:footnoteReference w:id="73"/>
      </w:r>
      <w:r w:rsidRPr="0026787B">
        <w:rPr>
          <w:lang w:val="fr-FR"/>
        </w:rPr>
        <w:t xml:space="preserve"> Il faut, de surcroît, mentionner la loi de 2009 sur le remboursement et les nouveaux investissements</w:t>
      </w:r>
      <w:r w:rsidRPr="0026787B">
        <w:rPr>
          <w:rStyle w:val="Appelnotedebasdep1"/>
          <w:lang w:val="fr-FR"/>
        </w:rPr>
        <w:footnoteReference w:id="74"/>
      </w:r>
      <w:r w:rsidRPr="0026787B">
        <w:rPr>
          <w:lang w:val="fr-FR"/>
        </w:rPr>
        <w:t xml:space="preserve"> qui a créé le Conseil de la transparence et de la responsabilité en matière de remboursement (Recovery Accountability and Transparency Board ou RATB) pour surveiller les versements de fonds liés aux remboursements mais aussi pour </w:t>
      </w:r>
      <w:r w:rsidR="00C91AD1">
        <w:rPr>
          <w:rFonts w:eastAsia="SimSun"/>
          <w:lang w:val="fr-FR"/>
        </w:rPr>
        <w:t>«</w:t>
      </w:r>
      <w:r w:rsidR="001946B9">
        <w:rPr>
          <w:rFonts w:ascii="Times New Roman" w:eastAsia="SimSun" w:hAnsi="Times New Roman"/>
          <w:lang w:val="fr-FR"/>
        </w:rPr>
        <w:t> </w:t>
      </w:r>
      <w:r w:rsidRPr="0026787B">
        <w:rPr>
          <w:lang w:val="fr-FR"/>
        </w:rPr>
        <w:t>détecter et empêcher la fraude, le gaspillage, et la mauvaise gestion.</w:t>
      </w:r>
      <w:r w:rsidR="001946B9">
        <w:rPr>
          <w:rFonts w:ascii="Times New Roman" w:eastAsia="SimSun" w:hAnsi="Times New Roman"/>
          <w:lang w:val="fr-FR"/>
        </w:rPr>
        <w:t> </w:t>
      </w:r>
      <w:r w:rsidR="00C91AD1">
        <w:rPr>
          <w:rFonts w:eastAsia="SimSun"/>
          <w:lang w:val="fr-FR"/>
        </w:rPr>
        <w:t>»</w:t>
      </w:r>
      <w:r w:rsidRPr="0026787B">
        <w:rPr>
          <w:rStyle w:val="Appelnotedebasdep1"/>
          <w:rFonts w:eastAsia="SimSun"/>
          <w:lang w:val="fr-FR"/>
        </w:rPr>
        <w:footnoteReference w:id="75"/>
      </w:r>
      <w:r w:rsidRPr="0026787B">
        <w:rPr>
          <w:lang w:val="fr-FR"/>
        </w:rPr>
        <w:t xml:space="preserve"> RATB publie ces informations en ligne sur le site Recovery.gov.</w:t>
      </w:r>
      <w:r w:rsidRPr="0026787B">
        <w:rPr>
          <w:rStyle w:val="Appelnotedebasdep"/>
          <w:lang w:val="fr-FR"/>
        </w:rPr>
        <w:footnoteReference w:id="76"/>
      </w:r>
    </w:p>
    <w:p w14:paraId="7E0A72AD" w14:textId="0CEC4EE6" w:rsidR="00CF5CC4" w:rsidRPr="0026787B" w:rsidRDefault="00CF5CC4" w:rsidP="00026722">
      <w:pPr>
        <w:rPr>
          <w:lang w:val="fr-FR"/>
        </w:rPr>
      </w:pPr>
      <w:r w:rsidRPr="0026787B">
        <w:rPr>
          <w:lang w:val="fr-FR"/>
        </w:rPr>
        <w:lastRenderedPageBreak/>
        <w:t>Dans des domaines plus spécifiques, des agences gouvernementales dédiées commencent à publier des informations en grande quantité. Par exemple, l</w:t>
      </w:r>
      <w:r w:rsidR="00CB54AA" w:rsidRPr="0026787B">
        <w:rPr>
          <w:lang w:val="fr-FR"/>
        </w:rPr>
        <w:t>’</w:t>
      </w:r>
      <w:r w:rsidRPr="0026787B">
        <w:rPr>
          <w:lang w:val="fr-FR"/>
        </w:rPr>
        <w:t>Agence de protection de l</w:t>
      </w:r>
      <w:r w:rsidR="00CB54AA" w:rsidRPr="0026787B">
        <w:rPr>
          <w:lang w:val="fr-FR"/>
        </w:rPr>
        <w:t>’</w:t>
      </w:r>
      <w:r w:rsidRPr="0026787B">
        <w:rPr>
          <w:lang w:val="fr-FR"/>
        </w:rPr>
        <w:t xml:space="preserve">environnement (EPA) est la parfaite illustration de ce phénomène. </w:t>
      </w:r>
      <w:r w:rsidR="00C91AD1">
        <w:rPr>
          <w:lang w:val="fr-FR"/>
        </w:rPr>
        <w:t>À</w:t>
      </w:r>
      <w:r w:rsidRPr="0026787B">
        <w:rPr>
          <w:lang w:val="fr-FR"/>
        </w:rPr>
        <w:t xml:space="preserve"> une époque, il n</w:t>
      </w:r>
      <w:r w:rsidR="00CB54AA" w:rsidRPr="0026787B">
        <w:rPr>
          <w:lang w:val="fr-FR"/>
        </w:rPr>
        <w:t>’</w:t>
      </w:r>
      <w:r w:rsidRPr="0026787B">
        <w:rPr>
          <w:lang w:val="fr-FR"/>
        </w:rPr>
        <w:t>était pas aisé pour un citoyen lambda d</w:t>
      </w:r>
      <w:r w:rsidR="00CB54AA" w:rsidRPr="0026787B">
        <w:rPr>
          <w:lang w:val="fr-FR"/>
        </w:rPr>
        <w:t>’</w:t>
      </w:r>
      <w:r w:rsidRPr="0026787B">
        <w:rPr>
          <w:lang w:val="fr-FR"/>
        </w:rPr>
        <w:t>obtenir des informations sur l</w:t>
      </w:r>
      <w:r w:rsidR="00CB54AA" w:rsidRPr="0026787B">
        <w:rPr>
          <w:lang w:val="fr-FR"/>
        </w:rPr>
        <w:t>’</w:t>
      </w:r>
      <w:r w:rsidRPr="0026787B">
        <w:rPr>
          <w:lang w:val="fr-FR"/>
        </w:rPr>
        <w:t>environnement et de pouvoir les analyser.</w:t>
      </w:r>
      <w:r w:rsidRPr="0026787B">
        <w:rPr>
          <w:rStyle w:val="Appelnotedebasdep1"/>
          <w:lang w:val="fr-FR"/>
        </w:rPr>
        <w:footnoteReference w:id="77"/>
      </w:r>
      <w:r w:rsidRPr="0026787B">
        <w:rPr>
          <w:lang w:val="fr-FR"/>
        </w:rPr>
        <w:t xml:space="preserve"> Cette tâche incombait dans une large mesure aux grandes organisations de défense de l</w:t>
      </w:r>
      <w:r w:rsidR="00CB54AA" w:rsidRPr="0026787B">
        <w:rPr>
          <w:lang w:val="fr-FR"/>
        </w:rPr>
        <w:t>’</w:t>
      </w:r>
      <w:r w:rsidRPr="0026787B">
        <w:rPr>
          <w:lang w:val="fr-FR"/>
        </w:rPr>
        <w:t>environnement qui avaient les moyens d</w:t>
      </w:r>
      <w:r w:rsidR="00CB54AA" w:rsidRPr="0026787B">
        <w:rPr>
          <w:lang w:val="fr-FR"/>
        </w:rPr>
        <w:t>’</w:t>
      </w:r>
      <w:r w:rsidRPr="0026787B">
        <w:rPr>
          <w:lang w:val="fr-FR"/>
        </w:rPr>
        <w:t>engager beaucoup de personnel.</w:t>
      </w:r>
      <w:r w:rsidRPr="0026787B">
        <w:rPr>
          <w:rStyle w:val="Appelnotedebasdep1"/>
          <w:lang w:val="fr-FR"/>
        </w:rPr>
        <w:footnoteReference w:id="78"/>
      </w:r>
      <w:r w:rsidRPr="0026787B">
        <w:rPr>
          <w:lang w:val="fr-FR"/>
        </w:rPr>
        <w:t xml:space="preserve"> Avec l</w:t>
      </w:r>
      <w:r w:rsidR="00CB54AA" w:rsidRPr="0026787B">
        <w:rPr>
          <w:lang w:val="fr-FR"/>
        </w:rPr>
        <w:t>’</w:t>
      </w:r>
      <w:r w:rsidRPr="0026787B">
        <w:rPr>
          <w:lang w:val="fr-FR"/>
        </w:rPr>
        <w:t>avènement d</w:t>
      </w:r>
      <w:r w:rsidR="00CB54AA" w:rsidRPr="0026787B">
        <w:rPr>
          <w:lang w:val="fr-FR"/>
        </w:rPr>
        <w:t>’</w:t>
      </w:r>
      <w:r w:rsidRPr="0026787B">
        <w:rPr>
          <w:lang w:val="fr-FR"/>
        </w:rPr>
        <w:t>Internet, la donne a complètement changé. Le professeur de droit William Gilles est un ardent défenseur de l</w:t>
      </w:r>
      <w:r w:rsidR="00CB54AA" w:rsidRPr="0026787B">
        <w:rPr>
          <w:lang w:val="fr-FR"/>
        </w:rPr>
        <w:t>’</w:t>
      </w:r>
      <w:r w:rsidRPr="0026787B">
        <w:rPr>
          <w:lang w:val="fr-FR"/>
        </w:rPr>
        <w:t xml:space="preserve">idée de </w:t>
      </w:r>
      <w:r w:rsidR="00C91AD1">
        <w:rPr>
          <w:rFonts w:eastAsia="SimSun"/>
          <w:lang w:val="fr-FR"/>
        </w:rPr>
        <w:t>«</w:t>
      </w:r>
      <w:r w:rsidR="001946B9">
        <w:rPr>
          <w:rFonts w:ascii="Times New Roman" w:eastAsia="SimSun" w:hAnsi="Times New Roman"/>
          <w:lang w:val="fr-FR"/>
        </w:rPr>
        <w:t> </w:t>
      </w:r>
      <w:r w:rsidRPr="0026787B">
        <w:rPr>
          <w:lang w:val="fr-FR"/>
        </w:rPr>
        <w:t>sousveillance</w:t>
      </w:r>
      <w:r w:rsidR="001946B9">
        <w:rPr>
          <w:rFonts w:ascii="Times New Roman" w:eastAsia="SimSun" w:hAnsi="Times New Roman"/>
          <w:lang w:val="fr-FR"/>
        </w:rPr>
        <w:t> </w:t>
      </w:r>
      <w:r w:rsidR="00C91AD1">
        <w:rPr>
          <w:rFonts w:eastAsia="SimSun"/>
          <w:lang w:val="fr-FR"/>
        </w:rPr>
        <w:t>»</w:t>
      </w:r>
      <w:r w:rsidRPr="0026787B">
        <w:rPr>
          <w:lang w:val="fr-FR"/>
        </w:rPr>
        <w:t>, une idée selon laquelle les membres de la société peuvent observer les actions des acteurs gouvernementaux et, ensuite, essayer d</w:t>
      </w:r>
      <w:r w:rsidR="00CB54AA" w:rsidRPr="0026787B">
        <w:rPr>
          <w:lang w:val="fr-FR"/>
        </w:rPr>
        <w:t>’</w:t>
      </w:r>
      <w:r w:rsidRPr="0026787B">
        <w:rPr>
          <w:lang w:val="fr-FR"/>
        </w:rPr>
        <w:t>influencer ces actions.</w:t>
      </w:r>
      <w:r w:rsidRPr="0026787B">
        <w:rPr>
          <w:rStyle w:val="Appelnotedebasdep1"/>
          <w:lang w:val="fr-FR"/>
        </w:rPr>
        <w:footnoteReference w:id="79"/>
      </w:r>
      <w:r w:rsidRPr="0026787B">
        <w:rPr>
          <w:lang w:val="fr-FR"/>
        </w:rPr>
        <w:t xml:space="preserve"> Il décrit la sousveillance comme </w:t>
      </w:r>
      <w:r w:rsidR="00C91AD1">
        <w:rPr>
          <w:lang w:val="fr-FR"/>
        </w:rPr>
        <w:t>«</w:t>
      </w:r>
      <w:r w:rsidR="001946B9">
        <w:rPr>
          <w:rFonts w:ascii="Times New Roman" w:hAnsi="Times New Roman"/>
          <w:lang w:val="fr-FR"/>
        </w:rPr>
        <w:t> </w:t>
      </w:r>
      <w:r w:rsidRPr="0026787B">
        <w:rPr>
          <w:lang w:val="fr-FR"/>
        </w:rPr>
        <w:t>la tendance grandissante de tous les citoyens à surveiller, scruter, et contrôler, depuis la base, les pratiques de leur gouvernement ou, encore plus largement, les actions de tout un chacun grâce à la démocratisation des outils de la technologie de l</w:t>
      </w:r>
      <w:r w:rsidR="00CB54AA" w:rsidRPr="0026787B">
        <w:rPr>
          <w:lang w:val="fr-FR"/>
        </w:rPr>
        <w:t>’</w:t>
      </w:r>
      <w:r w:rsidRPr="0026787B">
        <w:rPr>
          <w:lang w:val="fr-FR"/>
        </w:rPr>
        <w:t>information et de la communication (TIC).</w:t>
      </w:r>
      <w:r w:rsidR="001946B9">
        <w:rPr>
          <w:rFonts w:ascii="Times New Roman" w:hAnsi="Times New Roman"/>
          <w:lang w:val="fr-FR"/>
        </w:rPr>
        <w:t> </w:t>
      </w:r>
      <w:r w:rsidR="00C91AD1">
        <w:rPr>
          <w:lang w:val="fr-FR"/>
        </w:rPr>
        <w:t>»</w:t>
      </w:r>
      <w:r w:rsidRPr="0026787B">
        <w:rPr>
          <w:rStyle w:val="Appelnotedebasdep1"/>
          <w:lang w:val="fr-FR"/>
        </w:rPr>
        <w:footnoteReference w:id="80"/>
      </w:r>
      <w:r w:rsidR="00026722" w:rsidRPr="0026787B">
        <w:rPr>
          <w:lang w:val="fr-FR"/>
        </w:rPr>
        <w:t xml:space="preserve"> À</w:t>
      </w:r>
      <w:r w:rsidRPr="0026787B">
        <w:rPr>
          <w:lang w:val="fr-FR"/>
        </w:rPr>
        <w:t xml:space="preserve"> l</w:t>
      </w:r>
      <w:r w:rsidR="00CB54AA" w:rsidRPr="0026787B">
        <w:rPr>
          <w:lang w:val="fr-FR"/>
        </w:rPr>
        <w:t>’</w:t>
      </w:r>
      <w:r w:rsidRPr="0026787B">
        <w:rPr>
          <w:lang w:val="fr-FR"/>
        </w:rPr>
        <w:t xml:space="preserve">époque moderne, la sousveillance est facilement réalisable. Selon un commentateur, </w:t>
      </w:r>
      <w:r w:rsidR="00C91AD1">
        <w:rPr>
          <w:rFonts w:eastAsia="SimSun"/>
          <w:lang w:val="fr-FR"/>
        </w:rPr>
        <w:t>«</w:t>
      </w:r>
      <w:r w:rsidR="001946B9">
        <w:rPr>
          <w:rFonts w:ascii="Times New Roman" w:eastAsia="SimSun" w:hAnsi="Times New Roman"/>
          <w:lang w:val="fr-FR"/>
        </w:rPr>
        <w:t> </w:t>
      </w:r>
      <w:r w:rsidRPr="0026787B">
        <w:rPr>
          <w:lang w:val="fr-FR"/>
        </w:rPr>
        <w:t>aujourd</w:t>
      </w:r>
      <w:r w:rsidR="00CB54AA" w:rsidRPr="0026787B">
        <w:rPr>
          <w:lang w:val="fr-FR"/>
        </w:rPr>
        <w:t>’</w:t>
      </w:r>
      <w:r w:rsidRPr="0026787B">
        <w:rPr>
          <w:lang w:val="fr-FR"/>
        </w:rPr>
        <w:t>hui, un défenseur de l</w:t>
      </w:r>
      <w:r w:rsidR="00CB54AA" w:rsidRPr="0026787B">
        <w:rPr>
          <w:lang w:val="fr-FR"/>
        </w:rPr>
        <w:t>’</w:t>
      </w:r>
      <w:r w:rsidRPr="0026787B">
        <w:rPr>
          <w:lang w:val="fr-FR"/>
        </w:rPr>
        <w:t>environnement qui possède un modem d</w:t>
      </w:r>
      <w:r w:rsidR="00CB54AA" w:rsidRPr="0026787B">
        <w:rPr>
          <w:lang w:val="fr-FR"/>
        </w:rPr>
        <w:t>’</w:t>
      </w:r>
      <w:r w:rsidRPr="0026787B">
        <w:rPr>
          <w:lang w:val="fr-FR"/>
        </w:rPr>
        <w:t>une capacité de 56</w:t>
      </w:r>
      <w:r w:rsidR="00725D25">
        <w:rPr>
          <w:lang w:val="fr-FR"/>
        </w:rPr>
        <w:t> </w:t>
      </w:r>
      <w:r w:rsidRPr="0026787B">
        <w:rPr>
          <w:lang w:val="fr-FR"/>
        </w:rPr>
        <w:t>K et un abonnement à Internet qui lui coûte 20</w:t>
      </w:r>
      <w:r w:rsidR="001946B9">
        <w:rPr>
          <w:lang w:val="fr-FR"/>
        </w:rPr>
        <w:t> </w:t>
      </w:r>
      <w:r w:rsidRPr="0026787B">
        <w:rPr>
          <w:lang w:val="fr-FR"/>
        </w:rPr>
        <w:t>dollars par mois a plus de pouvoir que n</w:t>
      </w:r>
      <w:r w:rsidR="00CB54AA" w:rsidRPr="0026787B">
        <w:rPr>
          <w:lang w:val="fr-FR"/>
        </w:rPr>
        <w:t>’</w:t>
      </w:r>
      <w:r w:rsidRPr="0026787B">
        <w:rPr>
          <w:lang w:val="fr-FR"/>
        </w:rPr>
        <w:t>en avait il y a dix ans un ensemble d</w:t>
      </w:r>
      <w:r w:rsidR="00CB54AA" w:rsidRPr="0026787B">
        <w:rPr>
          <w:lang w:val="fr-FR"/>
        </w:rPr>
        <w:t>’</w:t>
      </w:r>
      <w:r w:rsidRPr="0026787B">
        <w:rPr>
          <w:lang w:val="fr-FR"/>
        </w:rPr>
        <w:t>agents pour obtenir des informations, pour communiquer, et pour occuper une place dans le processus de participation.</w:t>
      </w:r>
      <w:r w:rsidR="001946B9">
        <w:rPr>
          <w:rFonts w:ascii="Times New Roman" w:eastAsia="SimSun" w:hAnsi="Times New Roman"/>
          <w:lang w:val="fr-FR"/>
        </w:rPr>
        <w:t> </w:t>
      </w:r>
      <w:r w:rsidR="00C91AD1">
        <w:rPr>
          <w:rFonts w:eastAsia="SimSun"/>
          <w:lang w:val="fr-FR"/>
        </w:rPr>
        <w:t>»</w:t>
      </w:r>
      <w:r w:rsidRPr="0026787B">
        <w:rPr>
          <w:rStyle w:val="Appelnotedebasdep"/>
          <w:rFonts w:eastAsia="SimSun"/>
          <w:lang w:val="fr-FR"/>
        </w:rPr>
        <w:footnoteReference w:id="81"/>
      </w:r>
    </w:p>
    <w:p w14:paraId="765D2678" w14:textId="39807AB7" w:rsidR="00CF5CC4" w:rsidRPr="0026787B" w:rsidRDefault="00CF5CC4" w:rsidP="00026722">
      <w:pPr>
        <w:rPr>
          <w:lang w:val="fr-FR"/>
        </w:rPr>
      </w:pPr>
      <w:r w:rsidRPr="0026787B">
        <w:rPr>
          <w:lang w:val="fr-FR"/>
        </w:rPr>
        <w:t>Pour accéder aux informations sur l</w:t>
      </w:r>
      <w:r w:rsidR="00CB54AA" w:rsidRPr="0026787B">
        <w:rPr>
          <w:lang w:val="fr-FR"/>
        </w:rPr>
        <w:t>’</w:t>
      </w:r>
      <w:r w:rsidRPr="0026787B">
        <w:rPr>
          <w:lang w:val="fr-FR"/>
        </w:rPr>
        <w:t>environnement, le public peut s</w:t>
      </w:r>
      <w:r w:rsidR="00CB54AA" w:rsidRPr="0026787B">
        <w:rPr>
          <w:lang w:val="fr-FR"/>
        </w:rPr>
        <w:t>’</w:t>
      </w:r>
      <w:r w:rsidRPr="0026787B">
        <w:rPr>
          <w:lang w:val="fr-FR"/>
        </w:rPr>
        <w:t>appuyer sur un certain nombre de sites web</w:t>
      </w:r>
      <w:r w:rsidR="0063539C">
        <w:rPr>
          <w:lang w:val="fr-FR"/>
        </w:rPr>
        <w:t xml:space="preserve">, </w:t>
      </w:r>
      <w:r w:rsidRPr="0026787B">
        <w:rPr>
          <w:lang w:val="fr-FR"/>
        </w:rPr>
        <w:t>dont des sites gouvernementaux.</w:t>
      </w:r>
      <w:r w:rsidRPr="0026787B">
        <w:rPr>
          <w:rStyle w:val="Appelnotedebasdep1"/>
          <w:lang w:val="fr-FR"/>
        </w:rPr>
        <w:footnoteReference w:id="82"/>
      </w:r>
      <w:r w:rsidRPr="0026787B">
        <w:rPr>
          <w:lang w:val="fr-FR"/>
        </w:rPr>
        <w:t xml:space="preserve"> Par exemple, l</w:t>
      </w:r>
      <w:r w:rsidR="00CB54AA" w:rsidRPr="0026787B">
        <w:rPr>
          <w:lang w:val="fr-FR"/>
        </w:rPr>
        <w:t>’</w:t>
      </w:r>
      <w:r w:rsidRPr="0026787B">
        <w:rPr>
          <w:lang w:val="fr-FR"/>
        </w:rPr>
        <w:t>Agence américaine de protection de l</w:t>
      </w:r>
      <w:r w:rsidR="00CB54AA" w:rsidRPr="0026787B">
        <w:rPr>
          <w:lang w:val="fr-FR"/>
        </w:rPr>
        <w:t>’</w:t>
      </w:r>
      <w:r w:rsidRPr="0026787B">
        <w:rPr>
          <w:lang w:val="fr-FR"/>
        </w:rPr>
        <w:t>environnement (EPA) dispose d</w:t>
      </w:r>
      <w:r w:rsidR="00CB54AA" w:rsidRPr="0026787B">
        <w:rPr>
          <w:lang w:val="fr-FR"/>
        </w:rPr>
        <w:t>’</w:t>
      </w:r>
      <w:r w:rsidRPr="0026787B">
        <w:rPr>
          <w:lang w:val="fr-FR"/>
        </w:rPr>
        <w:t>un site web intitulé Envirofacts</w:t>
      </w:r>
      <w:r w:rsidRPr="0026787B">
        <w:rPr>
          <w:rStyle w:val="Appelnotedebasdep1"/>
          <w:lang w:val="fr-FR"/>
        </w:rPr>
        <w:footnoteReference w:id="83"/>
      </w:r>
      <w:r w:rsidRPr="0026787B">
        <w:rPr>
          <w:lang w:val="fr-FR"/>
        </w:rPr>
        <w:t xml:space="preserve"> dont le but est de fournir </w:t>
      </w:r>
      <w:r w:rsidR="00C91AD1">
        <w:rPr>
          <w:rFonts w:eastAsia="SimSun"/>
          <w:lang w:val="fr-FR"/>
        </w:rPr>
        <w:t>«</w:t>
      </w:r>
      <w:r w:rsidR="001946B9">
        <w:rPr>
          <w:rFonts w:ascii="Times New Roman" w:eastAsia="SimSun" w:hAnsi="Times New Roman"/>
          <w:lang w:val="fr-FR"/>
        </w:rPr>
        <w:t> </w:t>
      </w:r>
      <w:r w:rsidRPr="0026787B">
        <w:rPr>
          <w:lang w:val="fr-FR"/>
        </w:rPr>
        <w:t>des informations pluriannuelles sur les sources fixes de pollution de l</w:t>
      </w:r>
      <w:r w:rsidR="00CB54AA" w:rsidRPr="0026787B">
        <w:rPr>
          <w:lang w:val="fr-FR"/>
        </w:rPr>
        <w:t>’</w:t>
      </w:r>
      <w:r w:rsidRPr="0026787B">
        <w:rPr>
          <w:lang w:val="fr-FR"/>
        </w:rPr>
        <w:t>air</w:t>
      </w:r>
      <w:r w:rsidR="001946B9">
        <w:rPr>
          <w:rFonts w:ascii="Times New Roman" w:hAnsi="Times New Roman"/>
          <w:lang w:val="fr-FR"/>
        </w:rPr>
        <w:t> </w:t>
      </w:r>
      <w:r w:rsidRPr="0026787B">
        <w:rPr>
          <w:lang w:val="fr-FR"/>
        </w:rPr>
        <w:t>; sur les producteurs de grandes quantités de déchets dangereux</w:t>
      </w:r>
      <w:r w:rsidR="001946B9">
        <w:rPr>
          <w:rFonts w:ascii="Times New Roman" w:hAnsi="Times New Roman"/>
          <w:lang w:val="fr-FR"/>
        </w:rPr>
        <w:t> </w:t>
      </w:r>
      <w:r w:rsidRPr="0026787B">
        <w:rPr>
          <w:lang w:val="fr-FR"/>
        </w:rPr>
        <w:t>; sur les installations de traitement, de stockage et d</w:t>
      </w:r>
      <w:r w:rsidR="00CB54AA" w:rsidRPr="0026787B">
        <w:rPr>
          <w:lang w:val="fr-FR"/>
        </w:rPr>
        <w:t>’</w:t>
      </w:r>
      <w:r w:rsidRPr="0026787B">
        <w:rPr>
          <w:lang w:val="fr-FR"/>
        </w:rPr>
        <w:t>élimination des déchets</w:t>
      </w:r>
      <w:r w:rsidR="001946B9">
        <w:rPr>
          <w:rFonts w:ascii="Times New Roman" w:hAnsi="Times New Roman"/>
          <w:lang w:val="fr-FR"/>
        </w:rPr>
        <w:t> </w:t>
      </w:r>
      <w:r w:rsidRPr="0026787B">
        <w:rPr>
          <w:lang w:val="fr-FR"/>
        </w:rPr>
        <w:t>; sur les sites Superfund</w:t>
      </w:r>
      <w:r w:rsidR="001946B9">
        <w:rPr>
          <w:rFonts w:ascii="Times New Roman" w:hAnsi="Times New Roman"/>
          <w:lang w:val="fr-FR"/>
        </w:rPr>
        <w:t> </w:t>
      </w:r>
      <w:r w:rsidRPr="0026787B">
        <w:rPr>
          <w:lang w:val="fr-FR"/>
        </w:rPr>
        <w:t>;</w:t>
      </w:r>
      <w:r w:rsidRPr="0026787B">
        <w:rPr>
          <w:rStyle w:val="Appelnotedebasdep1"/>
          <w:lang w:val="fr-FR"/>
        </w:rPr>
        <w:footnoteReference w:id="84"/>
      </w:r>
      <w:r w:rsidRPr="0026787B">
        <w:rPr>
          <w:lang w:val="fr-FR"/>
        </w:rPr>
        <w:t xml:space="preserve"> sur les installations qui ont l</w:t>
      </w:r>
      <w:r w:rsidR="00CB54AA" w:rsidRPr="0026787B">
        <w:rPr>
          <w:lang w:val="fr-FR"/>
        </w:rPr>
        <w:t>’</w:t>
      </w:r>
      <w:r w:rsidRPr="0026787B">
        <w:rPr>
          <w:lang w:val="fr-FR"/>
        </w:rPr>
        <w:t>obligation de développer des plans de gestion des risques en vertu de la loi sur la qualité de l</w:t>
      </w:r>
      <w:r w:rsidR="00CB54AA" w:rsidRPr="0026787B">
        <w:rPr>
          <w:lang w:val="fr-FR"/>
        </w:rPr>
        <w:t>’</w:t>
      </w:r>
      <w:r w:rsidRPr="0026787B">
        <w:rPr>
          <w:lang w:val="fr-FR"/>
        </w:rPr>
        <w:t>air (Clean Air Act)</w:t>
      </w:r>
      <w:r w:rsidR="001946B9">
        <w:rPr>
          <w:rFonts w:ascii="Times New Roman" w:hAnsi="Times New Roman"/>
          <w:lang w:val="fr-FR"/>
        </w:rPr>
        <w:t> </w:t>
      </w:r>
      <w:r w:rsidRPr="0026787B">
        <w:rPr>
          <w:lang w:val="fr-FR"/>
        </w:rPr>
        <w:t>; sur les installations qui rendent des rapports faisant l</w:t>
      </w:r>
      <w:r w:rsidR="00CB54AA" w:rsidRPr="0026787B">
        <w:rPr>
          <w:lang w:val="fr-FR"/>
        </w:rPr>
        <w:t>’</w:t>
      </w:r>
      <w:r w:rsidRPr="0026787B">
        <w:rPr>
          <w:lang w:val="fr-FR"/>
        </w:rPr>
        <w:t>inventaire de rejets toxiques mentionnés dans des publications multimédia</w:t>
      </w:r>
      <w:r w:rsidR="0063539C">
        <w:rPr>
          <w:lang w:val="fr-FR"/>
        </w:rPr>
        <w:t xml:space="preserve">s </w:t>
      </w:r>
      <w:r w:rsidRPr="0026787B">
        <w:rPr>
          <w:lang w:val="fr-FR"/>
        </w:rPr>
        <w:t xml:space="preserve">sur les produits </w:t>
      </w:r>
      <w:r w:rsidRPr="0026787B">
        <w:rPr>
          <w:lang w:val="fr-FR"/>
        </w:rPr>
        <w:lastRenderedPageBreak/>
        <w:t>chimiques toxiques</w:t>
      </w:r>
      <w:r w:rsidR="001946B9">
        <w:rPr>
          <w:rFonts w:ascii="Times New Roman" w:hAnsi="Times New Roman"/>
          <w:lang w:val="fr-FR"/>
        </w:rPr>
        <w:t> </w:t>
      </w:r>
      <w:r w:rsidRPr="0026787B">
        <w:rPr>
          <w:lang w:val="fr-FR"/>
        </w:rPr>
        <w:t>; et sur les installations qui doivent communiquer sur leurs rejets d</w:t>
      </w:r>
      <w:r w:rsidR="00CB54AA" w:rsidRPr="0026787B">
        <w:rPr>
          <w:lang w:val="fr-FR"/>
        </w:rPr>
        <w:t>’</w:t>
      </w:r>
      <w:r w:rsidRPr="0026787B">
        <w:rPr>
          <w:lang w:val="fr-FR"/>
        </w:rPr>
        <w:t>eaux usées conformément au système d</w:t>
      </w:r>
      <w:r w:rsidR="00CB54AA" w:rsidRPr="0026787B">
        <w:rPr>
          <w:lang w:val="fr-FR"/>
        </w:rPr>
        <w:t>’</w:t>
      </w:r>
      <w:r w:rsidRPr="0026787B">
        <w:rPr>
          <w:lang w:val="fr-FR"/>
        </w:rPr>
        <w:t>autorisations (Permit Compliance System).</w:t>
      </w:r>
      <w:r w:rsidR="001946B9">
        <w:rPr>
          <w:rFonts w:ascii="Times New Roman" w:hAnsi="Times New Roman"/>
          <w:lang w:val="fr-FR"/>
        </w:rPr>
        <w:t> </w:t>
      </w:r>
      <w:r w:rsidR="00C91AD1">
        <w:rPr>
          <w:lang w:val="fr-FR"/>
        </w:rPr>
        <w:t>»</w:t>
      </w:r>
      <w:r w:rsidRPr="0026787B">
        <w:rPr>
          <w:rStyle w:val="Appelnotedebasdep1"/>
          <w:lang w:val="fr-FR"/>
        </w:rPr>
        <w:footnoteReference w:id="85"/>
      </w:r>
      <w:r w:rsidRPr="0026787B">
        <w:rPr>
          <w:lang w:val="fr-FR"/>
        </w:rPr>
        <w:t xml:space="preserve"> Certains analystes brandissent Envirofacts comme </w:t>
      </w:r>
      <w:r w:rsidR="001946B9">
        <w:rPr>
          <w:rFonts w:eastAsia="SimSun"/>
          <w:lang w:val="fr-FR"/>
        </w:rPr>
        <w:t>«</w:t>
      </w:r>
      <w:r w:rsidR="001946B9">
        <w:rPr>
          <w:rFonts w:ascii="Times New Roman" w:eastAsia="SimSun" w:hAnsi="Times New Roman"/>
          <w:lang w:val="fr-FR"/>
        </w:rPr>
        <w:t> </w:t>
      </w:r>
      <w:r w:rsidRPr="0026787B">
        <w:rPr>
          <w:lang w:val="fr-FR"/>
        </w:rPr>
        <w:t>une des meilleures sources d</w:t>
      </w:r>
      <w:r w:rsidR="00CB54AA" w:rsidRPr="0026787B">
        <w:rPr>
          <w:lang w:val="fr-FR"/>
        </w:rPr>
        <w:t>’</w:t>
      </w:r>
      <w:r w:rsidRPr="0026787B">
        <w:rPr>
          <w:lang w:val="fr-FR"/>
        </w:rPr>
        <w:t>informations sur l</w:t>
      </w:r>
      <w:r w:rsidR="00CB54AA" w:rsidRPr="0026787B">
        <w:rPr>
          <w:lang w:val="fr-FR"/>
        </w:rPr>
        <w:t>’</w:t>
      </w:r>
      <w:r w:rsidRPr="0026787B">
        <w:rPr>
          <w:lang w:val="fr-FR"/>
        </w:rPr>
        <w:t>environnement sur Internet</w:t>
      </w:r>
      <w:r w:rsidR="001946B9">
        <w:rPr>
          <w:rFonts w:ascii="Times New Roman" w:eastAsia="SimSun" w:hAnsi="Times New Roman"/>
          <w:lang w:val="fr-FR"/>
        </w:rPr>
        <w:t> »</w:t>
      </w:r>
      <w:r w:rsidRPr="0026787B">
        <w:rPr>
          <w:lang w:val="fr-FR"/>
        </w:rPr>
        <w:t xml:space="preserve"> parce que l</w:t>
      </w:r>
      <w:r w:rsidR="00CB54AA" w:rsidRPr="0026787B">
        <w:rPr>
          <w:lang w:val="fr-FR"/>
        </w:rPr>
        <w:t>’</w:t>
      </w:r>
      <w:r w:rsidRPr="0026787B">
        <w:rPr>
          <w:lang w:val="fr-FR"/>
        </w:rPr>
        <w:t xml:space="preserve">information est accessible sous divers formats (par exemple, </w:t>
      </w:r>
      <w:r w:rsidR="00C91AD1">
        <w:rPr>
          <w:rFonts w:eastAsia="SimSun"/>
          <w:lang w:val="fr-FR"/>
        </w:rPr>
        <w:t>«</w:t>
      </w:r>
      <w:r w:rsidR="001946B9">
        <w:rPr>
          <w:rFonts w:ascii="Times New Roman" w:eastAsia="SimSun" w:hAnsi="Times New Roman"/>
          <w:lang w:val="fr-FR"/>
        </w:rPr>
        <w:t> </w:t>
      </w:r>
      <w:r w:rsidRPr="0026787B">
        <w:rPr>
          <w:lang w:val="fr-FR"/>
        </w:rPr>
        <w:t>sous forme de cartes, aussi bien que sous forme de listes par site, produit chimique, et m</w:t>
      </w:r>
      <w:r w:rsidR="0063539C">
        <w:rPr>
          <w:lang w:val="fr-FR"/>
        </w:rPr>
        <w:t>é</w:t>
      </w:r>
      <w:r w:rsidRPr="0026787B">
        <w:rPr>
          <w:lang w:val="fr-FR"/>
        </w:rPr>
        <w:t>dia</w:t>
      </w:r>
      <w:r w:rsidR="001946B9">
        <w:rPr>
          <w:rFonts w:ascii="Times New Roman" w:eastAsia="SimSun" w:hAnsi="Times New Roman"/>
          <w:lang w:val="fr-FR"/>
        </w:rPr>
        <w:t> </w:t>
      </w:r>
      <w:r w:rsidR="00C91AD1">
        <w:rPr>
          <w:rFonts w:eastAsia="SimSun"/>
          <w:lang w:val="fr-FR"/>
        </w:rPr>
        <w:t>»</w:t>
      </w:r>
      <w:r w:rsidRPr="0026787B">
        <w:rPr>
          <w:lang w:val="fr-FR"/>
        </w:rPr>
        <w:t>), parce que Envirofacts est d</w:t>
      </w:r>
      <w:r w:rsidR="00CB54AA" w:rsidRPr="0026787B">
        <w:rPr>
          <w:lang w:val="fr-FR"/>
        </w:rPr>
        <w:t>’</w:t>
      </w:r>
      <w:r w:rsidRPr="0026787B">
        <w:rPr>
          <w:lang w:val="fr-FR"/>
        </w:rPr>
        <w:t xml:space="preserve">une utilisation facile grâce à un formulaire </w:t>
      </w:r>
      <w:r w:rsidR="00C91AD1">
        <w:rPr>
          <w:rFonts w:eastAsia="SimSun"/>
          <w:lang w:val="fr-FR"/>
        </w:rPr>
        <w:t>«</w:t>
      </w:r>
      <w:r w:rsidR="001946B9">
        <w:rPr>
          <w:rFonts w:ascii="Times New Roman" w:eastAsia="SimSun" w:hAnsi="Times New Roman"/>
          <w:lang w:val="fr-FR"/>
        </w:rPr>
        <w:t> </w:t>
      </w:r>
      <w:r w:rsidRPr="0026787B">
        <w:rPr>
          <w:lang w:val="fr-FR"/>
        </w:rPr>
        <w:t>à trous</w:t>
      </w:r>
      <w:r w:rsidR="001946B9">
        <w:rPr>
          <w:rFonts w:ascii="Times New Roman" w:eastAsia="SimSun" w:hAnsi="Times New Roman"/>
          <w:lang w:val="fr-FR"/>
        </w:rPr>
        <w:t> </w:t>
      </w:r>
      <w:r w:rsidR="00C91AD1">
        <w:rPr>
          <w:rFonts w:eastAsia="SimSun"/>
          <w:lang w:val="fr-FR"/>
        </w:rPr>
        <w:t>»</w:t>
      </w:r>
      <w:r w:rsidRPr="0026787B">
        <w:rPr>
          <w:lang w:val="fr-FR"/>
        </w:rPr>
        <w:t xml:space="preserve">, et parce que </w:t>
      </w:r>
      <w:r w:rsidR="00C91AD1">
        <w:rPr>
          <w:rFonts w:eastAsia="SimSun"/>
          <w:lang w:val="fr-FR"/>
        </w:rPr>
        <w:t>«</w:t>
      </w:r>
      <w:r w:rsidR="001946B9">
        <w:rPr>
          <w:rFonts w:ascii="Times New Roman" w:eastAsia="SimSun" w:hAnsi="Times New Roman"/>
          <w:lang w:val="fr-FR"/>
        </w:rPr>
        <w:t> </w:t>
      </w:r>
      <w:r w:rsidRPr="0026787B">
        <w:rPr>
          <w:lang w:val="fr-FR"/>
        </w:rPr>
        <w:t>presque toutes les informations trouvées sur le site proviennent directement des rapports faits par le secteur industriel lui-même et remis à l</w:t>
      </w:r>
      <w:r w:rsidR="00CB54AA" w:rsidRPr="0026787B">
        <w:rPr>
          <w:lang w:val="fr-FR"/>
        </w:rPr>
        <w:t>’</w:t>
      </w:r>
      <w:r w:rsidRPr="0026787B">
        <w:rPr>
          <w:lang w:val="fr-FR"/>
        </w:rPr>
        <w:t>Agence américaine de protection de l</w:t>
      </w:r>
      <w:r w:rsidR="00CB54AA" w:rsidRPr="0026787B">
        <w:rPr>
          <w:lang w:val="fr-FR"/>
        </w:rPr>
        <w:t>’</w:t>
      </w:r>
      <w:r w:rsidRPr="0026787B">
        <w:rPr>
          <w:lang w:val="fr-FR"/>
        </w:rPr>
        <w:t xml:space="preserve">environnement et/ou à ses homologues dans chaque </w:t>
      </w:r>
      <w:r w:rsidR="001946B9">
        <w:rPr>
          <w:lang w:val="fr-FR"/>
        </w:rPr>
        <w:t>État</w:t>
      </w:r>
      <w:r w:rsidRPr="0026787B">
        <w:rPr>
          <w:lang w:val="fr-FR"/>
        </w:rPr>
        <w:t>, dans le cadre des mandats imposés par la loi.</w:t>
      </w:r>
      <w:r w:rsidR="001946B9">
        <w:rPr>
          <w:rFonts w:ascii="Times New Roman" w:eastAsia="SimSun" w:hAnsi="Times New Roman"/>
          <w:lang w:val="fr-FR"/>
        </w:rPr>
        <w:t> </w:t>
      </w:r>
      <w:r w:rsidR="00C91AD1">
        <w:rPr>
          <w:rFonts w:eastAsia="SimSun"/>
          <w:lang w:val="fr-FR"/>
        </w:rPr>
        <w:t>»</w:t>
      </w:r>
      <w:r w:rsidRPr="0026787B">
        <w:rPr>
          <w:rStyle w:val="Appelnotedebasdep"/>
          <w:rFonts w:eastAsia="SimSun"/>
          <w:lang w:val="fr-FR"/>
        </w:rPr>
        <w:footnoteReference w:id="86"/>
      </w:r>
    </w:p>
    <w:p w14:paraId="1B137D8D" w14:textId="57EA3599" w:rsidR="00CF5CC4" w:rsidRPr="0026787B" w:rsidRDefault="00CF5CC4" w:rsidP="00026722">
      <w:pPr>
        <w:rPr>
          <w:lang w:val="fr-FR"/>
        </w:rPr>
      </w:pPr>
      <w:r w:rsidRPr="0026787B">
        <w:rPr>
          <w:lang w:val="fr-FR"/>
        </w:rPr>
        <w:t>Il existe également des sites web privés qui peuvent être consultés en complément du site web de l</w:t>
      </w:r>
      <w:r w:rsidR="00CB54AA" w:rsidRPr="0026787B">
        <w:rPr>
          <w:lang w:val="fr-FR"/>
        </w:rPr>
        <w:t>’</w:t>
      </w:r>
      <w:r w:rsidRPr="0026787B">
        <w:rPr>
          <w:lang w:val="fr-FR"/>
        </w:rPr>
        <w:t>EPA. On peut citer le Réseau du droit de savoir (Right-To-Know Network)</w:t>
      </w:r>
      <w:r w:rsidRPr="0026787B">
        <w:rPr>
          <w:rStyle w:val="Appelnotedebasdep1"/>
          <w:lang w:val="fr-FR"/>
        </w:rPr>
        <w:footnoteReference w:id="87"/>
      </w:r>
      <w:r w:rsidR="001946B9">
        <w:rPr>
          <w:lang w:val="fr-FR"/>
        </w:rPr>
        <w:t xml:space="preserve"> q</w:t>
      </w:r>
      <w:r w:rsidRPr="0026787B">
        <w:rPr>
          <w:lang w:val="fr-FR"/>
        </w:rPr>
        <w:t xml:space="preserve">ui </w:t>
      </w:r>
      <w:r w:rsidR="00C91AD1">
        <w:rPr>
          <w:rFonts w:eastAsia="SimSun"/>
          <w:lang w:val="fr-FR"/>
        </w:rPr>
        <w:t>«</w:t>
      </w:r>
      <w:r w:rsidR="001946B9">
        <w:rPr>
          <w:rFonts w:ascii="Times New Roman" w:eastAsia="SimSun" w:hAnsi="Times New Roman"/>
          <w:lang w:val="fr-FR"/>
        </w:rPr>
        <w:t> </w:t>
      </w:r>
      <w:r w:rsidRPr="0026787B">
        <w:rPr>
          <w:lang w:val="fr-FR"/>
        </w:rPr>
        <w:t>fournit des informations tirées des dossiers du gouvernement sur les accidents chimiques et les rejets sans autorisation</w:t>
      </w:r>
      <w:r w:rsidR="001946B9">
        <w:rPr>
          <w:rFonts w:ascii="Times New Roman" w:hAnsi="Times New Roman"/>
          <w:lang w:val="fr-FR"/>
        </w:rPr>
        <w:t> </w:t>
      </w:r>
      <w:r w:rsidRPr="0026787B">
        <w:rPr>
          <w:lang w:val="fr-FR"/>
        </w:rPr>
        <w:t>; les tests chimiques et les recours civils au niveau fédéral</w:t>
      </w:r>
      <w:r w:rsidR="001946B9">
        <w:rPr>
          <w:rFonts w:ascii="Times New Roman" w:hAnsi="Times New Roman"/>
          <w:lang w:val="fr-FR"/>
        </w:rPr>
        <w:t> </w:t>
      </w:r>
      <w:r w:rsidRPr="0026787B">
        <w:rPr>
          <w:lang w:val="fr-FR"/>
        </w:rPr>
        <w:t>; ainsi que d</w:t>
      </w:r>
      <w:r w:rsidR="00CB54AA" w:rsidRPr="0026787B">
        <w:rPr>
          <w:lang w:val="fr-FR"/>
        </w:rPr>
        <w:t>’</w:t>
      </w:r>
      <w:r w:rsidRPr="0026787B">
        <w:rPr>
          <w:lang w:val="fr-FR"/>
        </w:rPr>
        <w:t>autres informations sur par exemple les recensements, l</w:t>
      </w:r>
      <w:r w:rsidR="00CB54AA" w:rsidRPr="0026787B">
        <w:rPr>
          <w:lang w:val="fr-FR"/>
        </w:rPr>
        <w:t>’</w:t>
      </w:r>
      <w:r w:rsidRPr="0026787B">
        <w:rPr>
          <w:lang w:val="fr-FR"/>
        </w:rPr>
        <w:t>environnement, et la cartographie.</w:t>
      </w:r>
      <w:r w:rsidR="001946B9">
        <w:rPr>
          <w:rFonts w:ascii="Times New Roman" w:eastAsia="SimSun" w:hAnsi="Times New Roman"/>
          <w:lang w:val="fr-FR"/>
        </w:rPr>
        <w:t> </w:t>
      </w:r>
      <w:r w:rsidR="00C91AD1">
        <w:rPr>
          <w:rFonts w:eastAsia="SimSun"/>
          <w:lang w:val="fr-FR"/>
        </w:rPr>
        <w:t>»</w:t>
      </w:r>
      <w:r w:rsidRPr="0026787B">
        <w:rPr>
          <w:rStyle w:val="Appelnotedebasdep1"/>
          <w:rFonts w:eastAsia="SimSun"/>
          <w:lang w:val="fr-FR"/>
        </w:rPr>
        <w:footnoteReference w:id="88"/>
      </w:r>
      <w:r w:rsidRPr="0026787B">
        <w:rPr>
          <w:lang w:val="fr-FR"/>
        </w:rPr>
        <w:t xml:space="preserve"> Il faut ajouter à cela l</w:t>
      </w:r>
      <w:r w:rsidR="00CB54AA" w:rsidRPr="0026787B">
        <w:rPr>
          <w:lang w:val="fr-FR"/>
        </w:rPr>
        <w:t>’</w:t>
      </w:r>
      <w:r w:rsidRPr="0026787B">
        <w:rPr>
          <w:lang w:val="fr-FR"/>
        </w:rPr>
        <w:t>organisation non gouvernementale Environmental Defense Fund (EDF) qui gère le site web Scorecard.</w:t>
      </w:r>
      <w:r w:rsidRPr="0026787B">
        <w:rPr>
          <w:rStyle w:val="Appelnotedebasdep1"/>
          <w:lang w:val="fr-FR"/>
        </w:rPr>
        <w:footnoteReference w:id="89"/>
      </w:r>
      <w:r w:rsidRPr="0026787B">
        <w:rPr>
          <w:lang w:val="fr-FR"/>
        </w:rPr>
        <w:t xml:space="preserve"> Ce site publie des informations dans le souci d</w:t>
      </w:r>
      <w:r w:rsidR="00CB54AA" w:rsidRPr="0026787B">
        <w:rPr>
          <w:lang w:val="fr-FR"/>
        </w:rPr>
        <w:t>’</w:t>
      </w:r>
      <w:r w:rsidRPr="0026787B">
        <w:rPr>
          <w:lang w:val="fr-FR"/>
        </w:rPr>
        <w:t>encourager et de soutenir l</w:t>
      </w:r>
      <w:r w:rsidR="00CB54AA" w:rsidRPr="0026787B">
        <w:rPr>
          <w:lang w:val="fr-FR"/>
        </w:rPr>
        <w:t>’</w:t>
      </w:r>
      <w:r w:rsidRPr="0026787B">
        <w:rPr>
          <w:lang w:val="fr-FR"/>
        </w:rPr>
        <w:t>activisme</w:t>
      </w:r>
      <w:r w:rsidR="001946B9">
        <w:rPr>
          <w:rFonts w:ascii="Times New Roman" w:eastAsia="SimSun" w:hAnsi="Times New Roman"/>
          <w:lang w:val="fr-FR"/>
        </w:rPr>
        <w:t> </w:t>
      </w:r>
      <w:r w:rsidR="00725D25">
        <w:rPr>
          <w:rFonts w:eastAsia="SimSun"/>
          <w:lang w:val="fr-FR"/>
        </w:rPr>
        <w:t>»</w:t>
      </w:r>
      <w:r w:rsidR="00026722" w:rsidRPr="0026787B">
        <w:rPr>
          <w:rFonts w:eastAsia="SimSun"/>
          <w:lang w:val="fr-FR"/>
        </w:rPr>
        <w:t xml:space="preserve"> </w:t>
      </w:r>
      <w:r w:rsidRPr="0026787B">
        <w:rPr>
          <w:lang w:val="fr-FR"/>
        </w:rPr>
        <w:t xml:space="preserve">et se concentre sur des questions </w:t>
      </w:r>
      <w:r w:rsidR="00725D25">
        <w:rPr>
          <w:rFonts w:eastAsia="SimSun"/>
          <w:lang w:val="fr-FR"/>
        </w:rPr>
        <w:t>«</w:t>
      </w:r>
      <w:r w:rsidR="001946B9">
        <w:rPr>
          <w:rFonts w:ascii="Times New Roman" w:eastAsia="SimSun" w:hAnsi="Times New Roman"/>
          <w:lang w:val="fr-FR"/>
        </w:rPr>
        <w:t> </w:t>
      </w:r>
      <w:r w:rsidRPr="0026787B">
        <w:rPr>
          <w:lang w:val="fr-FR"/>
        </w:rPr>
        <w:t>telles que l</w:t>
      </w:r>
      <w:r w:rsidR="00CB54AA" w:rsidRPr="0026787B">
        <w:rPr>
          <w:lang w:val="fr-FR"/>
        </w:rPr>
        <w:t>’</w:t>
      </w:r>
      <w:r w:rsidRPr="0026787B">
        <w:rPr>
          <w:lang w:val="fr-FR"/>
        </w:rPr>
        <w:t>empoisonnement au plomb et les eaux de ruissellement des parcelles d</w:t>
      </w:r>
      <w:r w:rsidR="00CB54AA" w:rsidRPr="0026787B">
        <w:rPr>
          <w:lang w:val="fr-FR"/>
        </w:rPr>
        <w:t>’</w:t>
      </w:r>
      <w:r w:rsidRPr="0026787B">
        <w:rPr>
          <w:lang w:val="fr-FR"/>
        </w:rPr>
        <w:t>élevage</w:t>
      </w:r>
      <w:r w:rsidR="001946B9">
        <w:rPr>
          <w:rFonts w:ascii="Times New Roman" w:eastAsia="SimSun" w:hAnsi="Times New Roman"/>
          <w:lang w:val="fr-FR"/>
        </w:rPr>
        <w:t> </w:t>
      </w:r>
      <w:r w:rsidR="00725D25">
        <w:rPr>
          <w:rFonts w:eastAsia="SimSun"/>
          <w:lang w:val="fr-FR"/>
        </w:rPr>
        <w:t>»</w:t>
      </w:r>
      <w:r w:rsidRPr="0026787B">
        <w:rPr>
          <w:lang w:val="fr-FR"/>
        </w:rPr>
        <w:t>, sans compter qu</w:t>
      </w:r>
      <w:r w:rsidR="00CB54AA" w:rsidRPr="0026787B">
        <w:rPr>
          <w:lang w:val="fr-FR"/>
        </w:rPr>
        <w:t>’</w:t>
      </w:r>
      <w:r w:rsidRPr="0026787B">
        <w:rPr>
          <w:lang w:val="fr-FR"/>
        </w:rPr>
        <w:t xml:space="preserve">il propose </w:t>
      </w:r>
      <w:r w:rsidR="00725D25">
        <w:rPr>
          <w:rFonts w:eastAsia="SimSun"/>
          <w:lang w:val="fr-FR"/>
        </w:rPr>
        <w:t>«</w:t>
      </w:r>
      <w:r w:rsidR="001946B9">
        <w:rPr>
          <w:rFonts w:ascii="Times New Roman" w:eastAsia="SimSun" w:hAnsi="Times New Roman"/>
          <w:lang w:val="fr-FR"/>
        </w:rPr>
        <w:t> </w:t>
      </w:r>
      <w:r w:rsidRPr="0026787B">
        <w:rPr>
          <w:lang w:val="fr-FR"/>
        </w:rPr>
        <w:t xml:space="preserve">un système de classement des rapports où les </w:t>
      </w:r>
      <w:r w:rsidR="001946B9">
        <w:rPr>
          <w:lang w:val="fr-FR"/>
        </w:rPr>
        <w:t>État</w:t>
      </w:r>
      <w:r w:rsidRPr="0026787B">
        <w:rPr>
          <w:lang w:val="fr-FR"/>
        </w:rPr>
        <w:t>s (et dans la plupart des cas, des plus petites zones géographiques) ainsi que les sites sont comparés les uns aux autres.</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90"/>
      </w:r>
      <w:r w:rsidRPr="0026787B">
        <w:rPr>
          <w:lang w:val="fr-FR"/>
        </w:rPr>
        <w:t xml:space="preserve"> Un autre site web est géré par l</w:t>
      </w:r>
      <w:r w:rsidR="00CB54AA" w:rsidRPr="0026787B">
        <w:rPr>
          <w:lang w:val="fr-FR"/>
        </w:rPr>
        <w:t>’</w:t>
      </w:r>
      <w:r w:rsidRPr="0026787B">
        <w:rPr>
          <w:lang w:val="fr-FR"/>
        </w:rPr>
        <w:t>organisation écologiste Natural Resources Defense Council (NRDC, Conseil de défense des ressources naturelles) qui met en ligne des informations liées au Projet d</w:t>
      </w:r>
      <w:r w:rsidR="00CB54AA" w:rsidRPr="0026787B">
        <w:rPr>
          <w:lang w:val="fr-FR"/>
        </w:rPr>
        <w:t>’</w:t>
      </w:r>
      <w:r w:rsidRPr="0026787B">
        <w:rPr>
          <w:lang w:val="fr-FR"/>
        </w:rPr>
        <w:t>Exposition Cumulée (Cumulative Exposure Project ou CEP) de l</w:t>
      </w:r>
      <w:r w:rsidR="00CB54AA" w:rsidRPr="0026787B">
        <w:rPr>
          <w:lang w:val="fr-FR"/>
        </w:rPr>
        <w:t>’</w:t>
      </w:r>
      <w:r w:rsidRPr="0026787B">
        <w:rPr>
          <w:lang w:val="fr-FR"/>
        </w:rPr>
        <w:t>Agence pour la protection de l</w:t>
      </w:r>
      <w:r w:rsidR="00CB54AA" w:rsidRPr="0026787B">
        <w:rPr>
          <w:lang w:val="fr-FR"/>
        </w:rPr>
        <w:t>’</w:t>
      </w:r>
      <w:r w:rsidRPr="0026787B">
        <w:rPr>
          <w:lang w:val="fr-FR"/>
        </w:rPr>
        <w:t xml:space="preserve">environnement. On y trouve des comparaisons de </w:t>
      </w:r>
      <w:r w:rsidR="00725D25">
        <w:rPr>
          <w:rFonts w:eastAsia="SimSun"/>
          <w:lang w:val="fr-FR"/>
        </w:rPr>
        <w:t>«</w:t>
      </w:r>
      <w:r w:rsidR="001946B9">
        <w:rPr>
          <w:rFonts w:ascii="Times New Roman" w:eastAsia="SimSun" w:hAnsi="Times New Roman"/>
          <w:lang w:val="fr-FR"/>
        </w:rPr>
        <w:t> </w:t>
      </w:r>
      <w:r w:rsidRPr="0026787B">
        <w:rPr>
          <w:lang w:val="fr-FR"/>
        </w:rPr>
        <w:t>concentrations modélisées de toxines dans l</w:t>
      </w:r>
      <w:r w:rsidR="00CB54AA" w:rsidRPr="0026787B">
        <w:rPr>
          <w:lang w:val="fr-FR"/>
        </w:rPr>
        <w:t>’</w:t>
      </w:r>
      <w:r w:rsidRPr="0026787B">
        <w:rPr>
          <w:lang w:val="fr-FR"/>
        </w:rPr>
        <w:t>air ambiant avec les indices de référence de santé établis par l</w:t>
      </w:r>
      <w:r w:rsidR="00CB54AA" w:rsidRPr="0026787B">
        <w:rPr>
          <w:lang w:val="fr-FR"/>
        </w:rPr>
        <w:t>’</w:t>
      </w:r>
      <w:r w:rsidRPr="0026787B">
        <w:rPr>
          <w:lang w:val="fr-FR"/>
        </w:rPr>
        <w:t>EPA.</w:t>
      </w:r>
      <w:r w:rsidRPr="0026787B">
        <w:rPr>
          <w:rStyle w:val="Appelnotedebasdep1"/>
          <w:lang w:val="fr-FR"/>
        </w:rPr>
        <w:footnoteReference w:id="91"/>
      </w:r>
      <w:r w:rsidRPr="0026787B">
        <w:rPr>
          <w:lang w:val="fr-FR"/>
        </w:rPr>
        <w:t xml:space="preserve"> </w:t>
      </w:r>
      <w:r w:rsidR="00C91AD1">
        <w:rPr>
          <w:lang w:val="fr-FR"/>
        </w:rPr>
        <w:t>À</w:t>
      </w:r>
      <w:r w:rsidRPr="0026787B">
        <w:rPr>
          <w:lang w:val="fr-FR"/>
        </w:rPr>
        <w:t xml:space="preserve"> l</w:t>
      </w:r>
      <w:r w:rsidR="00CB54AA" w:rsidRPr="0026787B">
        <w:rPr>
          <w:lang w:val="fr-FR"/>
        </w:rPr>
        <w:t>’</w:t>
      </w:r>
      <w:r w:rsidRPr="0026787B">
        <w:rPr>
          <w:lang w:val="fr-FR"/>
        </w:rPr>
        <w:t>aide de cartes et autres graphiques, le site de cette organisation (</w:t>
      </w:r>
      <w:hyperlink r:id="rId8" w:history="1">
        <w:r w:rsidRPr="0026787B">
          <w:rPr>
            <w:rStyle w:val="Lienhypertexte"/>
            <w:color w:val="auto"/>
            <w:u w:val="none"/>
            <w:lang w:val="fr-FR"/>
          </w:rPr>
          <w:t>www.nrdc.org/airpollution/cep</w:t>
        </w:r>
      </w:hyperlink>
      <w:r w:rsidRPr="0026787B">
        <w:rPr>
          <w:lang w:val="fr-FR"/>
        </w:rPr>
        <w:t>) décrit dans quelle proportion les cumuls de ces toxines présentes dans l</w:t>
      </w:r>
      <w:r w:rsidR="00CB54AA" w:rsidRPr="0026787B">
        <w:rPr>
          <w:lang w:val="fr-FR"/>
        </w:rPr>
        <w:t>’</w:t>
      </w:r>
      <w:r w:rsidRPr="0026787B">
        <w:rPr>
          <w:lang w:val="fr-FR"/>
        </w:rPr>
        <w:t xml:space="preserve">air dépassent les normes de </w:t>
      </w:r>
      <w:r w:rsidRPr="0026787B">
        <w:rPr>
          <w:lang w:val="fr-FR"/>
        </w:rPr>
        <w:lastRenderedPageBreak/>
        <w:t>santé en différents points du pays.</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92"/>
      </w:r>
      <w:r w:rsidRPr="0026787B">
        <w:rPr>
          <w:lang w:val="fr-FR"/>
        </w:rPr>
        <w:t xml:space="preserve"> D</w:t>
      </w:r>
      <w:r w:rsidR="00CB54AA" w:rsidRPr="0026787B">
        <w:rPr>
          <w:lang w:val="fr-FR"/>
        </w:rPr>
        <w:t>’</w:t>
      </w:r>
      <w:r w:rsidRPr="0026787B">
        <w:rPr>
          <w:lang w:val="fr-FR"/>
        </w:rPr>
        <w:t>autres sites web comparables à ceux-là existent aussi.</w:t>
      </w:r>
      <w:r w:rsidRPr="0026787B">
        <w:rPr>
          <w:rStyle w:val="Appelnotedebasdep"/>
          <w:lang w:val="fr-FR"/>
        </w:rPr>
        <w:footnoteReference w:id="93"/>
      </w:r>
    </w:p>
    <w:p w14:paraId="6690B5E7" w14:textId="3AD23312" w:rsidR="00CF5CC4" w:rsidRPr="0026787B" w:rsidRDefault="00CF5CC4" w:rsidP="00026722">
      <w:pPr>
        <w:rPr>
          <w:lang w:val="fr-FR"/>
        </w:rPr>
      </w:pPr>
      <w:r w:rsidRPr="0026787B">
        <w:rPr>
          <w:lang w:val="fr-FR"/>
        </w:rPr>
        <w:t>Plus important encore, il y a la présence de sites web gouvernementaux auxquels les particuliers peuvent recourir pour trouver des données scientifiques et techniques qui vont leur permettre d</w:t>
      </w:r>
      <w:r w:rsidR="00CB54AA" w:rsidRPr="0026787B">
        <w:rPr>
          <w:lang w:val="fr-FR"/>
        </w:rPr>
        <w:t>’</w:t>
      </w:r>
      <w:r w:rsidRPr="0026787B">
        <w:rPr>
          <w:lang w:val="fr-FR"/>
        </w:rPr>
        <w:t>évaluer les informations environnementales consultées sur des sites comme Envirofacts.</w:t>
      </w:r>
      <w:r w:rsidRPr="0026787B">
        <w:rPr>
          <w:rStyle w:val="Appelnotedebasdep1"/>
          <w:lang w:val="fr-FR"/>
        </w:rPr>
        <w:footnoteReference w:id="94"/>
      </w:r>
      <w:r w:rsidRPr="0026787B">
        <w:rPr>
          <w:lang w:val="fr-FR"/>
        </w:rPr>
        <w:t xml:space="preserve"> Par exemple, le Bureau de la planification et des normes de qualité de l</w:t>
      </w:r>
      <w:r w:rsidR="00CB54AA" w:rsidRPr="0026787B">
        <w:rPr>
          <w:lang w:val="fr-FR"/>
        </w:rPr>
        <w:t>’</w:t>
      </w:r>
      <w:r w:rsidRPr="0026787B">
        <w:rPr>
          <w:lang w:val="fr-FR"/>
        </w:rPr>
        <w:t>air dispose du Réseau de transfert de technologie (Technology Transfer Network)</w:t>
      </w:r>
      <w:r w:rsidRPr="0026787B">
        <w:rPr>
          <w:rStyle w:val="Appelnotedebasdep1"/>
          <w:lang w:val="fr-FR"/>
        </w:rPr>
        <w:footnoteReference w:id="95"/>
      </w:r>
      <w:r w:rsidR="001946B9">
        <w:rPr>
          <w:lang w:val="fr-FR"/>
        </w:rPr>
        <w:t xml:space="preserve"> p</w:t>
      </w:r>
      <w:r w:rsidRPr="0026787B">
        <w:rPr>
          <w:lang w:val="fr-FR"/>
        </w:rPr>
        <w:t xml:space="preserve">our fournir un </w:t>
      </w:r>
      <w:r w:rsidR="00725D25">
        <w:rPr>
          <w:rFonts w:eastAsia="SimSun"/>
          <w:lang w:val="fr-FR"/>
        </w:rPr>
        <w:t>«</w:t>
      </w:r>
      <w:r w:rsidR="001946B9">
        <w:rPr>
          <w:rFonts w:ascii="Times New Roman" w:eastAsia="SimSun" w:hAnsi="Times New Roman"/>
          <w:lang w:val="fr-FR"/>
        </w:rPr>
        <w:t> </w:t>
      </w:r>
      <w:r w:rsidRPr="0026787B">
        <w:rPr>
          <w:lang w:val="fr-FR"/>
        </w:rPr>
        <w:t>centre de renseignements scientifiques et techniques utilisés par l</w:t>
      </w:r>
      <w:r w:rsidR="00CB54AA" w:rsidRPr="0026787B">
        <w:rPr>
          <w:lang w:val="fr-FR"/>
        </w:rPr>
        <w:t>’</w:t>
      </w:r>
      <w:r w:rsidRPr="0026787B">
        <w:rPr>
          <w:lang w:val="fr-FR"/>
        </w:rPr>
        <w:t>EPA pour lancer ses activités multiples dans le cadre de la loi sur la qualité de l</w:t>
      </w:r>
      <w:r w:rsidR="00CB54AA" w:rsidRPr="0026787B">
        <w:rPr>
          <w:lang w:val="fr-FR"/>
        </w:rPr>
        <w:t>’</w:t>
      </w:r>
      <w:r w:rsidRPr="0026787B">
        <w:rPr>
          <w:lang w:val="fr-FR"/>
        </w:rPr>
        <w:t>air.</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96"/>
      </w:r>
      <w:r w:rsidRPr="0026787B">
        <w:rPr>
          <w:lang w:val="fr-FR"/>
        </w:rPr>
        <w:t xml:space="preserve"> Ce site web englobe d</w:t>
      </w:r>
      <w:r w:rsidR="00CB54AA" w:rsidRPr="0026787B">
        <w:rPr>
          <w:lang w:val="fr-FR"/>
        </w:rPr>
        <w:t>’</w:t>
      </w:r>
      <w:r w:rsidRPr="0026787B">
        <w:rPr>
          <w:lang w:val="fr-FR"/>
        </w:rPr>
        <w:t>une part les technologies de contrôle maximal disponibles (Maximum Achievable Control Technology ou MACT) dont font partie les informations sur le contrôle des émissions et le contrôle de la pollution rapportées par le secteur de l</w:t>
      </w:r>
      <w:r w:rsidR="00CB54AA" w:rsidRPr="0026787B">
        <w:rPr>
          <w:lang w:val="fr-FR"/>
        </w:rPr>
        <w:t>’</w:t>
      </w:r>
      <w:r w:rsidRPr="0026787B">
        <w:rPr>
          <w:lang w:val="fr-FR"/>
        </w:rPr>
        <w:t>industrie, et d</w:t>
      </w:r>
      <w:r w:rsidR="00CB54AA" w:rsidRPr="0026787B">
        <w:rPr>
          <w:lang w:val="fr-FR"/>
        </w:rPr>
        <w:t>’</w:t>
      </w:r>
      <w:r w:rsidRPr="0026787B">
        <w:rPr>
          <w:lang w:val="fr-FR"/>
        </w:rPr>
        <w:t>autre part, le Groupe d</w:t>
      </w:r>
      <w:r w:rsidR="00CB54AA" w:rsidRPr="0026787B">
        <w:rPr>
          <w:lang w:val="fr-FR"/>
        </w:rPr>
        <w:t>’</w:t>
      </w:r>
      <w:r w:rsidRPr="0026787B">
        <w:rPr>
          <w:lang w:val="fr-FR"/>
        </w:rPr>
        <w:t>évaluation du transport d</w:t>
      </w:r>
      <w:r w:rsidR="00CB54AA" w:rsidRPr="0026787B">
        <w:rPr>
          <w:lang w:val="fr-FR"/>
        </w:rPr>
        <w:t>’</w:t>
      </w:r>
      <w:r w:rsidRPr="0026787B">
        <w:rPr>
          <w:lang w:val="fr-FR"/>
        </w:rPr>
        <w:t xml:space="preserve">ozone (Ozone Transport Assessment Group) qui décrit </w:t>
      </w:r>
      <w:r w:rsidR="00725D25">
        <w:rPr>
          <w:rFonts w:eastAsia="SimSun"/>
          <w:lang w:val="fr-FR"/>
        </w:rPr>
        <w:t>«</w:t>
      </w:r>
      <w:r w:rsidR="001946B9">
        <w:rPr>
          <w:rFonts w:ascii="Times New Roman" w:eastAsia="SimSun" w:hAnsi="Times New Roman"/>
          <w:lang w:val="fr-FR"/>
        </w:rPr>
        <w:t> </w:t>
      </w:r>
      <w:r w:rsidRPr="0026787B">
        <w:rPr>
          <w:lang w:val="fr-FR"/>
        </w:rPr>
        <w:t>les transports d</w:t>
      </w:r>
      <w:r w:rsidR="00CB54AA" w:rsidRPr="0026787B">
        <w:rPr>
          <w:lang w:val="fr-FR"/>
        </w:rPr>
        <w:t>’</w:t>
      </w:r>
      <w:r w:rsidRPr="0026787B">
        <w:rPr>
          <w:lang w:val="fr-FR"/>
        </w:rPr>
        <w:t>oxyde d</w:t>
      </w:r>
      <w:r w:rsidR="00CB54AA" w:rsidRPr="0026787B">
        <w:rPr>
          <w:lang w:val="fr-FR"/>
        </w:rPr>
        <w:t>’</w:t>
      </w:r>
      <w:r w:rsidRPr="0026787B">
        <w:rPr>
          <w:lang w:val="fr-FR"/>
        </w:rPr>
        <w:t xml:space="preserve">azote (NOx) à travers les </w:t>
      </w:r>
      <w:r w:rsidR="0063539C">
        <w:rPr>
          <w:lang w:val="fr-FR"/>
        </w:rPr>
        <w:t>É</w:t>
      </w:r>
      <w:r w:rsidRPr="0026787B">
        <w:rPr>
          <w:lang w:val="fr-FR"/>
        </w:rPr>
        <w:t>tats de l</w:t>
      </w:r>
      <w:r w:rsidR="00CB54AA" w:rsidRPr="0026787B">
        <w:rPr>
          <w:lang w:val="fr-FR"/>
        </w:rPr>
        <w:t>’</w:t>
      </w:r>
      <w:r w:rsidRPr="0026787B">
        <w:rPr>
          <w:lang w:val="fr-FR"/>
        </w:rPr>
        <w:t xml:space="preserve">Est des </w:t>
      </w:r>
      <w:r w:rsidR="00725D25">
        <w:rPr>
          <w:lang w:val="fr-FR"/>
        </w:rPr>
        <w:t>É</w:t>
      </w:r>
      <w:r w:rsidRPr="0026787B">
        <w:rPr>
          <w:lang w:val="fr-FR"/>
        </w:rPr>
        <w:t>tats-Unis.</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97"/>
      </w:r>
      <w:r w:rsidRPr="0026787B">
        <w:rPr>
          <w:lang w:val="fr-FR"/>
        </w:rPr>
        <w:t xml:space="preserve"> Naturellement, les particuliers peuvent aussi utiliser les répertoires des moteurs de recherche pour accéder à des sites web privés qui fournissent des renseignements techniques, comme le répertoire électronique de Google qui </w:t>
      </w:r>
      <w:r w:rsidR="00725D25">
        <w:rPr>
          <w:rFonts w:eastAsia="SimSun"/>
          <w:lang w:val="fr-FR"/>
        </w:rPr>
        <w:t>«</w:t>
      </w:r>
      <w:r w:rsidR="001946B9">
        <w:rPr>
          <w:rFonts w:ascii="Times New Roman" w:eastAsia="SimSun" w:hAnsi="Times New Roman"/>
          <w:lang w:val="fr-FR"/>
        </w:rPr>
        <w:t> </w:t>
      </w:r>
      <w:r w:rsidRPr="0026787B">
        <w:rPr>
          <w:lang w:val="fr-FR"/>
        </w:rPr>
        <w:t xml:space="preserve">propose de nombreuses sous-catégories de sites Internet pour le terme </w:t>
      </w:r>
      <w:r w:rsidR="00725D25">
        <w:rPr>
          <w:lang w:val="fr-FR"/>
        </w:rPr>
        <w:t>“</w:t>
      </w:r>
      <w:r w:rsidRPr="0026787B">
        <w:rPr>
          <w:lang w:val="fr-FR"/>
        </w:rPr>
        <w:t>environnement</w:t>
      </w:r>
      <w:r w:rsidR="00725D25">
        <w:rPr>
          <w:lang w:val="fr-FR"/>
        </w:rPr>
        <w:t>”</w:t>
      </w:r>
      <w:r w:rsidRPr="0026787B">
        <w:rPr>
          <w:lang w:val="fr-FR"/>
        </w:rPr>
        <w:t>, à savoir dix sites sur l</w:t>
      </w:r>
      <w:r w:rsidR="00CB54AA" w:rsidRPr="0026787B">
        <w:rPr>
          <w:lang w:val="fr-FR"/>
        </w:rPr>
        <w:t>’</w:t>
      </w:r>
      <w:r w:rsidRPr="0026787B">
        <w:rPr>
          <w:lang w:val="fr-FR"/>
        </w:rPr>
        <w:t>éthique environnementale, soixante-seize sites sur les forêts et les forêts tropicales humides, et 385 sites sur la biodiversité.</w:t>
      </w:r>
      <w:r w:rsidR="001946B9">
        <w:rPr>
          <w:rFonts w:ascii="Times New Roman" w:eastAsia="SimSun" w:hAnsi="Times New Roman"/>
          <w:lang w:val="fr-FR"/>
        </w:rPr>
        <w:t> </w:t>
      </w:r>
      <w:r w:rsidR="00725D25">
        <w:rPr>
          <w:rFonts w:eastAsia="SimSun"/>
          <w:lang w:val="fr-FR"/>
        </w:rPr>
        <w:t>»</w:t>
      </w:r>
      <w:r w:rsidRPr="0026787B">
        <w:rPr>
          <w:rStyle w:val="Appelnotedebasdep"/>
          <w:rFonts w:eastAsia="SimSun"/>
          <w:lang w:val="fr-FR"/>
        </w:rPr>
        <w:footnoteReference w:id="98"/>
      </w:r>
    </w:p>
    <w:p w14:paraId="7098ED67" w14:textId="3CBA63A1" w:rsidR="00CF5CC4" w:rsidRPr="0026787B" w:rsidRDefault="00CF5CC4" w:rsidP="00026722">
      <w:pPr>
        <w:rPr>
          <w:lang w:val="fr-FR"/>
        </w:rPr>
      </w:pPr>
      <w:r w:rsidRPr="0026787B">
        <w:rPr>
          <w:lang w:val="fr-FR"/>
        </w:rPr>
        <w:t>En plus de l</w:t>
      </w:r>
      <w:r w:rsidR="00CB54AA" w:rsidRPr="0026787B">
        <w:rPr>
          <w:lang w:val="fr-FR"/>
        </w:rPr>
        <w:t>’</w:t>
      </w:r>
      <w:r w:rsidRPr="0026787B">
        <w:rPr>
          <w:lang w:val="fr-FR"/>
        </w:rPr>
        <w:t>accès sur Internet aux informations techniques et scientifiques, les particuliers peuvent aussi accéder aux informations juridiques en lien avec l</w:t>
      </w:r>
      <w:r w:rsidR="00CB54AA" w:rsidRPr="0026787B">
        <w:rPr>
          <w:lang w:val="fr-FR"/>
        </w:rPr>
        <w:t>’</w:t>
      </w:r>
      <w:r w:rsidRPr="0026787B">
        <w:rPr>
          <w:lang w:val="fr-FR"/>
        </w:rPr>
        <w:t>environnement, et ce, à travers des sites tels que Findlaw et GPO Access</w:t>
      </w:r>
      <w:r w:rsidRPr="0026787B">
        <w:rPr>
          <w:rStyle w:val="Appelnotedebasdep1"/>
          <w:lang w:val="fr-FR"/>
        </w:rPr>
        <w:footnoteReference w:id="99"/>
      </w:r>
      <w:r w:rsidRPr="0026787B">
        <w:rPr>
          <w:lang w:val="fr-FR"/>
        </w:rPr>
        <w:t xml:space="preserve"> du Bureau des publications du gouvernement américain (Government Printing Office). Findlaw</w:t>
      </w:r>
      <w:r w:rsidRPr="0026787B">
        <w:rPr>
          <w:rStyle w:val="Appelnotedebasdep1"/>
          <w:lang w:val="fr-FR"/>
        </w:rPr>
        <w:footnoteReference w:id="100"/>
      </w:r>
      <w:r w:rsidRPr="0026787B">
        <w:rPr>
          <w:lang w:val="fr-FR"/>
        </w:rPr>
        <w:t xml:space="preserve"> </w:t>
      </w:r>
      <w:r w:rsidR="00725D25">
        <w:rPr>
          <w:rFonts w:eastAsia="SimSun"/>
          <w:lang w:val="fr-FR"/>
        </w:rPr>
        <w:t>«</w:t>
      </w:r>
      <w:r w:rsidR="001946B9">
        <w:rPr>
          <w:rFonts w:ascii="Times New Roman" w:eastAsia="SimSun" w:hAnsi="Times New Roman"/>
          <w:lang w:val="fr-FR"/>
        </w:rPr>
        <w:t> </w:t>
      </w:r>
      <w:r w:rsidRPr="0026787B">
        <w:rPr>
          <w:lang w:val="fr-FR"/>
        </w:rPr>
        <w:t>fournit à tous les défenseurs de l</w:t>
      </w:r>
      <w:r w:rsidR="00CB54AA" w:rsidRPr="0026787B">
        <w:rPr>
          <w:lang w:val="fr-FR"/>
        </w:rPr>
        <w:t>’</w:t>
      </w:r>
      <w:r w:rsidRPr="0026787B">
        <w:rPr>
          <w:lang w:val="fr-FR"/>
        </w:rPr>
        <w:t>environnement un large éventail de documents juridiques et de liens utiles vers des ressources juridiques.</w:t>
      </w:r>
      <w:r w:rsidR="001946B9">
        <w:rPr>
          <w:rFonts w:ascii="Times New Roman" w:eastAsia="SimSun" w:hAnsi="Times New Roman"/>
          <w:lang w:val="fr-FR"/>
        </w:rPr>
        <w:t> </w:t>
      </w:r>
      <w:r w:rsidR="00725D25">
        <w:rPr>
          <w:rFonts w:eastAsia="SimSun"/>
          <w:lang w:val="fr-FR"/>
        </w:rPr>
        <w:t>»</w:t>
      </w:r>
      <w:r w:rsidRPr="0026787B">
        <w:rPr>
          <w:lang w:val="fr-FR"/>
        </w:rPr>
        <w:t xml:space="preserve"> On y trouve par exemple le Code des </w:t>
      </w:r>
      <w:r w:rsidR="00725D25">
        <w:rPr>
          <w:lang w:val="fr-FR"/>
        </w:rPr>
        <w:t>É</w:t>
      </w:r>
      <w:r w:rsidRPr="0026787B">
        <w:rPr>
          <w:lang w:val="fr-FR"/>
        </w:rPr>
        <w:t xml:space="preserve">tats-Unis, le Code de la réglementation fédérale et les avis du Registre fédéral (US Federal Register), de même que les lois et codes administratifs de nombreux </w:t>
      </w:r>
      <w:r w:rsidR="001946B9">
        <w:rPr>
          <w:lang w:val="fr-FR"/>
        </w:rPr>
        <w:t>État</w:t>
      </w:r>
      <w:r w:rsidRPr="0026787B">
        <w:rPr>
          <w:lang w:val="fr-FR"/>
        </w:rPr>
        <w:t xml:space="preserve">s, sans compter certains avis de la </w:t>
      </w:r>
      <w:r w:rsidR="0063539C">
        <w:rPr>
          <w:lang w:val="fr-FR"/>
        </w:rPr>
        <w:t>C</w:t>
      </w:r>
      <w:r w:rsidRPr="0026787B">
        <w:rPr>
          <w:lang w:val="fr-FR"/>
        </w:rPr>
        <w:t>our suprême fédérale et des opinions des juridictions inférieures.</w:t>
      </w:r>
      <w:r w:rsidRPr="0026787B">
        <w:rPr>
          <w:rStyle w:val="Appelnotedebasdep1"/>
          <w:lang w:val="fr-FR"/>
        </w:rPr>
        <w:footnoteReference w:id="101"/>
      </w:r>
      <w:r w:rsidRPr="0026787B">
        <w:rPr>
          <w:lang w:val="fr-FR"/>
        </w:rPr>
        <w:t xml:space="preserve"> </w:t>
      </w:r>
      <w:r w:rsidR="00725D25">
        <w:rPr>
          <w:rFonts w:eastAsia="SimSun"/>
          <w:lang w:val="fr-FR"/>
        </w:rPr>
        <w:t>«</w:t>
      </w:r>
      <w:r w:rsidR="001946B9">
        <w:rPr>
          <w:rFonts w:ascii="Times New Roman" w:eastAsia="SimSun" w:hAnsi="Times New Roman"/>
          <w:lang w:val="fr-FR"/>
        </w:rPr>
        <w:t> </w:t>
      </w:r>
      <w:r w:rsidRPr="0026787B">
        <w:rPr>
          <w:lang w:val="fr-FR"/>
        </w:rPr>
        <w:t>Findlaw fournit aussi des liens vers des sites web d</w:t>
      </w:r>
      <w:r w:rsidR="00CB54AA" w:rsidRPr="0026787B">
        <w:rPr>
          <w:lang w:val="fr-FR"/>
        </w:rPr>
        <w:t>’</w:t>
      </w:r>
      <w:r w:rsidRPr="0026787B">
        <w:rPr>
          <w:lang w:val="fr-FR"/>
        </w:rPr>
        <w:t xml:space="preserve">associations juridiques à but non lucratif ainsi que des informations sur la </w:t>
      </w:r>
      <w:r w:rsidR="0063539C">
        <w:rPr>
          <w:lang w:val="fr-FR"/>
        </w:rPr>
        <w:t>C</w:t>
      </w:r>
      <w:r w:rsidRPr="0026787B">
        <w:rPr>
          <w:lang w:val="fr-FR"/>
        </w:rPr>
        <w:t xml:space="preserve">hambre des </w:t>
      </w:r>
      <w:r w:rsidR="0036624B">
        <w:rPr>
          <w:lang w:val="fr-FR"/>
        </w:rPr>
        <w:t>R</w:t>
      </w:r>
      <w:r w:rsidRPr="0026787B">
        <w:rPr>
          <w:lang w:val="fr-FR"/>
        </w:rPr>
        <w:t xml:space="preserve">eprésentants et le </w:t>
      </w:r>
      <w:r w:rsidR="0063539C">
        <w:rPr>
          <w:lang w:val="fr-FR"/>
        </w:rPr>
        <w:t>S</w:t>
      </w:r>
      <w:r w:rsidRPr="0026787B">
        <w:rPr>
          <w:lang w:val="fr-FR"/>
        </w:rPr>
        <w:t xml:space="preserve">énat </w:t>
      </w:r>
      <w:r w:rsidRPr="0026787B">
        <w:rPr>
          <w:lang w:val="fr-FR"/>
        </w:rPr>
        <w:lastRenderedPageBreak/>
        <w:t>américains, et sur le Conseil de la qualité de l</w:t>
      </w:r>
      <w:r w:rsidR="00CB54AA" w:rsidRPr="0026787B">
        <w:rPr>
          <w:lang w:val="fr-FR"/>
        </w:rPr>
        <w:t>’</w:t>
      </w:r>
      <w:r w:rsidRPr="0026787B">
        <w:rPr>
          <w:lang w:val="fr-FR"/>
        </w:rPr>
        <w:t>environnement.</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102"/>
      </w:r>
      <w:r w:rsidR="00026722" w:rsidRPr="0026787B">
        <w:rPr>
          <w:rFonts w:eastAsia="SimSun"/>
          <w:lang w:val="fr-FR"/>
        </w:rPr>
        <w:t xml:space="preserve"> </w:t>
      </w:r>
      <w:r w:rsidRPr="0026787B">
        <w:rPr>
          <w:lang w:val="fr-FR"/>
        </w:rPr>
        <w:t>De son côté, GPO Access</w:t>
      </w:r>
      <w:r w:rsidRPr="0026787B">
        <w:rPr>
          <w:rStyle w:val="Appelnotedebasdep1"/>
          <w:lang w:val="fr-FR"/>
        </w:rPr>
        <w:footnoteReference w:id="103"/>
      </w:r>
      <w:r w:rsidRPr="0026787B">
        <w:rPr>
          <w:lang w:val="fr-FR"/>
        </w:rPr>
        <w:t xml:space="preserve"> fournit également de nombreux documents semblables à ceux disponibles sur Findlaw parmi lesquels un recueil des avis précédents de la </w:t>
      </w:r>
      <w:r w:rsidR="0063539C">
        <w:rPr>
          <w:lang w:val="fr-FR"/>
        </w:rPr>
        <w:t>C</w:t>
      </w:r>
      <w:r w:rsidRPr="0026787B">
        <w:rPr>
          <w:lang w:val="fr-FR"/>
        </w:rPr>
        <w:t xml:space="preserve">our suprême fédérale ainsi que </w:t>
      </w:r>
      <w:r w:rsidR="00725D25">
        <w:rPr>
          <w:rFonts w:eastAsia="SimSun"/>
          <w:lang w:val="fr-FR"/>
        </w:rPr>
        <w:t>«</w:t>
      </w:r>
      <w:r w:rsidR="001946B9">
        <w:rPr>
          <w:rFonts w:ascii="Times New Roman" w:eastAsia="SimSun" w:hAnsi="Times New Roman"/>
          <w:lang w:val="fr-FR"/>
        </w:rPr>
        <w:t> </w:t>
      </w:r>
      <w:r w:rsidRPr="0026787B">
        <w:rPr>
          <w:lang w:val="fr-FR"/>
        </w:rPr>
        <w:t>des projets de loi et des rapports d</w:t>
      </w:r>
      <w:r w:rsidR="00CB54AA" w:rsidRPr="0026787B">
        <w:rPr>
          <w:lang w:val="fr-FR"/>
        </w:rPr>
        <w:t>’</w:t>
      </w:r>
      <w:r w:rsidRPr="0026787B">
        <w:rPr>
          <w:lang w:val="fr-FR"/>
        </w:rPr>
        <w:t xml:space="preserve">auditions du Congrès américain, des rapports de la </w:t>
      </w:r>
      <w:r w:rsidR="0036624B">
        <w:rPr>
          <w:lang w:val="fr-FR"/>
        </w:rPr>
        <w:t>C</w:t>
      </w:r>
      <w:r w:rsidRPr="0026787B">
        <w:rPr>
          <w:lang w:val="fr-FR"/>
        </w:rPr>
        <w:t xml:space="preserve">hambre des </w:t>
      </w:r>
      <w:r w:rsidR="0036624B">
        <w:rPr>
          <w:lang w:val="fr-FR"/>
        </w:rPr>
        <w:t>R</w:t>
      </w:r>
      <w:r w:rsidRPr="0026787B">
        <w:rPr>
          <w:lang w:val="fr-FR"/>
        </w:rPr>
        <w:t xml:space="preserve">eprésentants et du </w:t>
      </w:r>
      <w:r w:rsidR="0036624B">
        <w:rPr>
          <w:lang w:val="fr-FR"/>
        </w:rPr>
        <w:t>S</w:t>
      </w:r>
      <w:r w:rsidRPr="0026787B">
        <w:rPr>
          <w:lang w:val="fr-FR"/>
        </w:rPr>
        <w:t xml:space="preserve">énat, et les </w:t>
      </w:r>
      <w:r w:rsidRPr="0026787B">
        <w:rPr>
          <w:i/>
          <w:iCs/>
          <w:lang w:val="fr-FR"/>
        </w:rPr>
        <w:t>Congressional</w:t>
      </w:r>
      <w:r w:rsidRPr="0026787B">
        <w:rPr>
          <w:lang w:val="fr-FR"/>
        </w:rPr>
        <w:t xml:space="preserve"> </w:t>
      </w:r>
      <w:r w:rsidRPr="0026787B">
        <w:rPr>
          <w:i/>
          <w:iCs/>
          <w:lang w:val="fr-FR"/>
        </w:rPr>
        <w:t>Records</w:t>
      </w:r>
      <w:r w:rsidRPr="0026787B">
        <w:rPr>
          <w:lang w:val="fr-FR"/>
        </w:rPr>
        <w:t xml:space="preserve"> [archives du Congrès].</w:t>
      </w:r>
      <w:r w:rsidR="001946B9">
        <w:rPr>
          <w:rFonts w:ascii="Times New Roman" w:eastAsia="SimSun" w:hAnsi="Times New Roman"/>
          <w:lang w:val="fr-FR"/>
        </w:rPr>
        <w:t> </w:t>
      </w:r>
      <w:r w:rsidR="00725D25">
        <w:rPr>
          <w:rFonts w:eastAsia="SimSun"/>
          <w:lang w:val="fr-FR"/>
        </w:rPr>
        <w:t>»</w:t>
      </w:r>
      <w:r w:rsidRPr="0026787B">
        <w:rPr>
          <w:rStyle w:val="Appelnotedebasdep"/>
          <w:rFonts w:eastAsia="SimSun"/>
          <w:lang w:val="fr-FR"/>
        </w:rPr>
        <w:footnoteReference w:id="104"/>
      </w:r>
    </w:p>
    <w:p w14:paraId="270A7B05" w14:textId="44797A84" w:rsidR="00CF5CC4" w:rsidRPr="0026787B" w:rsidRDefault="00CF5CC4" w:rsidP="00026722">
      <w:pPr>
        <w:rPr>
          <w:lang w:val="fr-FR"/>
        </w:rPr>
      </w:pPr>
      <w:r w:rsidRPr="0026787B">
        <w:rPr>
          <w:lang w:val="fr-FR"/>
        </w:rPr>
        <w:t>Ainsi, au-delà de la simple publication des informations en ligne, l</w:t>
      </w:r>
      <w:r w:rsidR="00CB54AA" w:rsidRPr="0026787B">
        <w:rPr>
          <w:lang w:val="fr-FR"/>
        </w:rPr>
        <w:t>’</w:t>
      </w:r>
      <w:r w:rsidRPr="0026787B">
        <w:rPr>
          <w:lang w:val="fr-FR"/>
        </w:rPr>
        <w:t>ère numérique a renforcé la capacité du citoyen moyen à participer au processus gouvernemental de prise de décision. Sur le Net, les agences gouvernementales peuvent informer le public des projets de réglementation en publiant des avis de projet de réglementation (NOPR) à la fois au Registre fédéral et en ligne.</w:t>
      </w:r>
      <w:r w:rsidRPr="0026787B">
        <w:rPr>
          <w:rStyle w:val="Appelnotedebasdep1"/>
          <w:lang w:val="fr-FR"/>
        </w:rPr>
        <w:footnoteReference w:id="105"/>
      </w:r>
      <w:r w:rsidRPr="0026787B">
        <w:rPr>
          <w:lang w:val="fr-FR"/>
        </w:rPr>
        <w:t xml:space="preserve"> Quiconque peut ainsi accéder au processus de réglementation de l</w:t>
      </w:r>
      <w:r w:rsidR="00CB54AA" w:rsidRPr="0026787B">
        <w:rPr>
          <w:lang w:val="fr-FR"/>
        </w:rPr>
        <w:t>’</w:t>
      </w:r>
      <w:r w:rsidRPr="0026787B">
        <w:rPr>
          <w:lang w:val="fr-FR"/>
        </w:rPr>
        <w:t>EPA sur le web.</w:t>
      </w:r>
      <w:r w:rsidRPr="0026787B">
        <w:rPr>
          <w:rStyle w:val="Appelnotedebasdep1"/>
          <w:lang w:val="fr-FR"/>
        </w:rPr>
        <w:footnoteReference w:id="106"/>
      </w:r>
      <w:r w:rsidRPr="0026787B">
        <w:rPr>
          <w:lang w:val="fr-FR"/>
        </w:rPr>
        <w:t xml:space="preserve"> Au niveau local, c</w:t>
      </w:r>
      <w:r w:rsidR="00CB54AA" w:rsidRPr="0026787B">
        <w:rPr>
          <w:lang w:val="fr-FR"/>
        </w:rPr>
        <w:t>’</w:t>
      </w:r>
      <w:r w:rsidRPr="0026787B">
        <w:rPr>
          <w:lang w:val="fr-FR"/>
        </w:rPr>
        <w:t xml:space="preserve">est-à-dire au niveau des </w:t>
      </w:r>
      <w:r w:rsidR="001946B9">
        <w:rPr>
          <w:lang w:val="fr-FR"/>
        </w:rPr>
        <w:t>État</w:t>
      </w:r>
      <w:r w:rsidRPr="0026787B">
        <w:rPr>
          <w:lang w:val="fr-FR"/>
        </w:rPr>
        <w:t>s et des régions, les agences de protection de l</w:t>
      </w:r>
      <w:r w:rsidR="00CB54AA" w:rsidRPr="0026787B">
        <w:rPr>
          <w:lang w:val="fr-FR"/>
        </w:rPr>
        <w:t>’</w:t>
      </w:r>
      <w:r w:rsidRPr="0026787B">
        <w:rPr>
          <w:lang w:val="fr-FR"/>
        </w:rPr>
        <w:t>environnement mettent désormais en ligne des projets de permis, des avis publics, des permis définitifs, des documents de synthèse, et des renseignements sur les points de contact.</w:t>
      </w:r>
      <w:r w:rsidRPr="0026787B">
        <w:rPr>
          <w:rStyle w:val="Appelnotedebasdep1"/>
          <w:lang w:val="fr-FR"/>
        </w:rPr>
        <w:footnoteReference w:id="107"/>
      </w:r>
      <w:r w:rsidRPr="0026787B">
        <w:rPr>
          <w:lang w:val="fr-FR"/>
        </w:rPr>
        <w:t xml:space="preserve"> Dans l</w:t>
      </w:r>
      <w:r w:rsidR="00CB54AA" w:rsidRPr="0026787B">
        <w:rPr>
          <w:lang w:val="fr-FR"/>
        </w:rPr>
        <w:t>’</w:t>
      </w:r>
      <w:r w:rsidR="001946B9">
        <w:rPr>
          <w:lang w:val="fr-FR"/>
        </w:rPr>
        <w:t>État</w:t>
      </w:r>
      <w:r w:rsidRPr="0026787B">
        <w:rPr>
          <w:lang w:val="fr-FR"/>
        </w:rPr>
        <w:t xml:space="preserve"> de l</w:t>
      </w:r>
      <w:r w:rsidR="00CB54AA" w:rsidRPr="0026787B">
        <w:rPr>
          <w:lang w:val="fr-FR"/>
        </w:rPr>
        <w:t>’</w:t>
      </w:r>
      <w:r w:rsidRPr="0026787B">
        <w:rPr>
          <w:lang w:val="fr-FR"/>
        </w:rPr>
        <w:t>Illinois, les permis d</w:t>
      </w:r>
      <w:r w:rsidR="00CB54AA" w:rsidRPr="0026787B">
        <w:rPr>
          <w:lang w:val="fr-FR"/>
        </w:rPr>
        <w:t>’</w:t>
      </w:r>
      <w:r w:rsidRPr="0026787B">
        <w:rPr>
          <w:lang w:val="fr-FR"/>
        </w:rPr>
        <w:t>émissions atmosphériques sont postés sur un site web unique (</w:t>
      </w:r>
      <w:hyperlink r:id="rId9" w:history="1">
        <w:r w:rsidRPr="0026787B">
          <w:rPr>
            <w:rStyle w:val="Lienhypertexte"/>
            <w:color w:val="auto"/>
            <w:u w:val="none"/>
            <w:lang w:val="fr-FR"/>
          </w:rPr>
          <w:t>www.epa.gov/ARD-R5/permits</w:t>
        </w:r>
      </w:hyperlink>
      <w:r w:rsidRPr="0026787B">
        <w:rPr>
          <w:lang w:val="fr-FR"/>
        </w:rPr>
        <w:t>).</w:t>
      </w:r>
      <w:r w:rsidRPr="0026787B">
        <w:rPr>
          <w:rStyle w:val="Appelnotedebasdep1"/>
          <w:lang w:val="fr-FR"/>
        </w:rPr>
        <w:footnoteReference w:id="108"/>
      </w:r>
      <w:r w:rsidRPr="0026787B">
        <w:rPr>
          <w:lang w:val="fr-FR"/>
        </w:rPr>
        <w:t xml:space="preserve"> Par ailleurs, les agences peuvent donner la possibilité à l</w:t>
      </w:r>
      <w:r w:rsidR="00CB54AA" w:rsidRPr="0026787B">
        <w:rPr>
          <w:lang w:val="fr-FR"/>
        </w:rPr>
        <w:t>’</w:t>
      </w:r>
      <w:r w:rsidRPr="0026787B">
        <w:rPr>
          <w:lang w:val="fr-FR"/>
        </w:rPr>
        <w:t xml:space="preserve">ensemble des citoyens de soumettre des commentaires en ligne sur les avis de projet de réglementation grâce à des cases spéciales du type </w:t>
      </w:r>
      <w:r w:rsidR="00725D25">
        <w:rPr>
          <w:rFonts w:eastAsia="SimSun"/>
          <w:lang w:val="fr-FR"/>
        </w:rPr>
        <w:t>«</w:t>
      </w:r>
      <w:r w:rsidR="001946B9">
        <w:rPr>
          <w:rFonts w:ascii="Times New Roman" w:eastAsia="SimSun" w:hAnsi="Times New Roman"/>
          <w:lang w:val="fr-FR"/>
        </w:rPr>
        <w:t> </w:t>
      </w:r>
      <w:r w:rsidRPr="0026787B">
        <w:rPr>
          <w:lang w:val="fr-FR"/>
        </w:rPr>
        <w:t>cliquez ici pour laisser un commentaire.</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109"/>
      </w:r>
      <w:r w:rsidRPr="0026787B">
        <w:rPr>
          <w:lang w:val="fr-FR"/>
        </w:rPr>
        <w:t xml:space="preserve"> Les agences peuvent même permettre aux participants de voir les commentaires déposés par d</w:t>
      </w:r>
      <w:r w:rsidR="00CB54AA" w:rsidRPr="0026787B">
        <w:rPr>
          <w:lang w:val="fr-FR"/>
        </w:rPr>
        <w:t>’</w:t>
      </w:r>
      <w:r w:rsidRPr="0026787B">
        <w:rPr>
          <w:lang w:val="fr-FR"/>
        </w:rPr>
        <w:t>autres et d</w:t>
      </w:r>
      <w:r w:rsidR="00CB54AA" w:rsidRPr="0026787B">
        <w:rPr>
          <w:lang w:val="fr-FR"/>
        </w:rPr>
        <w:t>’</w:t>
      </w:r>
      <w:r w:rsidRPr="0026787B">
        <w:rPr>
          <w:lang w:val="fr-FR"/>
        </w:rPr>
        <w:t>y répondre, voire d</w:t>
      </w:r>
      <w:r w:rsidR="00CB54AA" w:rsidRPr="0026787B">
        <w:rPr>
          <w:lang w:val="fr-FR"/>
        </w:rPr>
        <w:t>’</w:t>
      </w:r>
      <w:r w:rsidRPr="0026787B">
        <w:rPr>
          <w:lang w:val="fr-FR"/>
        </w:rPr>
        <w:t>apprécier et d</w:t>
      </w:r>
      <w:r w:rsidR="00CB54AA" w:rsidRPr="0026787B">
        <w:rPr>
          <w:lang w:val="fr-FR"/>
        </w:rPr>
        <w:t>’</w:t>
      </w:r>
      <w:r w:rsidRPr="0026787B">
        <w:rPr>
          <w:lang w:val="fr-FR"/>
        </w:rPr>
        <w:t>évaluer d</w:t>
      </w:r>
      <w:r w:rsidR="00CB54AA" w:rsidRPr="0026787B">
        <w:rPr>
          <w:lang w:val="fr-FR"/>
        </w:rPr>
        <w:t>’</w:t>
      </w:r>
      <w:r w:rsidRPr="0026787B">
        <w:rPr>
          <w:lang w:val="fr-FR"/>
        </w:rPr>
        <w:t>autres commentaires.</w:t>
      </w:r>
      <w:r w:rsidRPr="0026787B">
        <w:rPr>
          <w:rStyle w:val="Appelnotedebasdep1"/>
          <w:lang w:val="fr-FR"/>
        </w:rPr>
        <w:footnoteReference w:id="110"/>
      </w:r>
      <w:r w:rsidRPr="0026787B">
        <w:rPr>
          <w:lang w:val="fr-FR"/>
        </w:rPr>
        <w:t xml:space="preserve"> Bien sûr, il n</w:t>
      </w:r>
      <w:r w:rsidR="00CB54AA" w:rsidRPr="0026787B">
        <w:rPr>
          <w:lang w:val="fr-FR"/>
        </w:rPr>
        <w:t>’</w:t>
      </w:r>
      <w:r w:rsidRPr="0026787B">
        <w:rPr>
          <w:lang w:val="fr-FR"/>
        </w:rPr>
        <w:t>y a pas que du bon dans une participation citoyenne débridée puisque les possibilités offertes de laisser des commentaires en ligne présentent des risques d</w:t>
      </w:r>
      <w:r w:rsidR="00CB54AA" w:rsidRPr="0026787B">
        <w:rPr>
          <w:lang w:val="fr-FR"/>
        </w:rPr>
        <w:t>’</w:t>
      </w:r>
      <w:r w:rsidRPr="0026787B">
        <w:rPr>
          <w:lang w:val="fr-FR"/>
        </w:rPr>
        <w:t>abus ou encore peuvent constituer une surcharge de données.</w:t>
      </w:r>
      <w:r w:rsidRPr="0026787B">
        <w:rPr>
          <w:rStyle w:val="Appelnotedebasdep"/>
          <w:lang w:val="fr-FR"/>
        </w:rPr>
        <w:footnoteReference w:id="111"/>
      </w:r>
    </w:p>
    <w:p w14:paraId="18D11501" w14:textId="2AAE492D" w:rsidR="00CF5CC4" w:rsidRPr="005539A5" w:rsidRDefault="00026722" w:rsidP="00026722">
      <w:pPr>
        <w:pStyle w:val="Titre1"/>
        <w:rPr>
          <w:lang w:val="fr-FR"/>
        </w:rPr>
      </w:pPr>
      <w:r w:rsidRPr="005539A5">
        <w:rPr>
          <w:lang w:val="fr-FR"/>
        </w:rPr>
        <w:t>Conclusion</w:t>
      </w:r>
    </w:p>
    <w:p w14:paraId="5D47BE4A" w14:textId="664D047D" w:rsidR="00CF5CC4" w:rsidRPr="0026787B" w:rsidRDefault="00CF5CC4" w:rsidP="00CF5CC4">
      <w:pPr>
        <w:rPr>
          <w:lang w:val="fr-FR"/>
        </w:rPr>
      </w:pPr>
      <w:r w:rsidRPr="0026787B">
        <w:rPr>
          <w:lang w:val="fr-FR"/>
        </w:rPr>
        <w:t>La liberté d</w:t>
      </w:r>
      <w:r w:rsidR="00CB54AA" w:rsidRPr="0026787B">
        <w:rPr>
          <w:lang w:val="fr-FR"/>
        </w:rPr>
        <w:t>’</w:t>
      </w:r>
      <w:r w:rsidRPr="0026787B">
        <w:rPr>
          <w:lang w:val="fr-FR"/>
        </w:rPr>
        <w:t>expression est une composante essentielle du processus démocratique. Afin de choisir leurs représentants ou d</w:t>
      </w:r>
      <w:r w:rsidR="00CB54AA" w:rsidRPr="0026787B">
        <w:rPr>
          <w:lang w:val="fr-FR"/>
        </w:rPr>
        <w:t>’</w:t>
      </w:r>
      <w:r w:rsidRPr="0026787B">
        <w:rPr>
          <w:lang w:val="fr-FR"/>
        </w:rPr>
        <w:t>exprimer leur opinion sur des projets de mesures ou des idées de politique, les citoyens dans leur ensemble doivent avoir le droit d</w:t>
      </w:r>
      <w:r w:rsidR="00CB54AA" w:rsidRPr="0026787B">
        <w:rPr>
          <w:lang w:val="fr-FR"/>
        </w:rPr>
        <w:t>’</w:t>
      </w:r>
      <w:r w:rsidRPr="0026787B">
        <w:rPr>
          <w:lang w:val="fr-FR"/>
        </w:rPr>
        <w:t>exprimer librement et ouvertement leurs convictions. Néanmoins, pour que la liberté d</w:t>
      </w:r>
      <w:r w:rsidR="00CB54AA" w:rsidRPr="0026787B">
        <w:rPr>
          <w:lang w:val="fr-FR"/>
        </w:rPr>
        <w:t>’</w:t>
      </w:r>
      <w:r w:rsidRPr="0026787B">
        <w:rPr>
          <w:lang w:val="fr-FR"/>
        </w:rPr>
        <w:t>expression soit effective, l</w:t>
      </w:r>
      <w:r w:rsidR="00CB54AA" w:rsidRPr="0026787B">
        <w:rPr>
          <w:lang w:val="fr-FR"/>
        </w:rPr>
        <w:t>’</w:t>
      </w:r>
      <w:r w:rsidRPr="0026787B">
        <w:rPr>
          <w:lang w:val="fr-FR"/>
        </w:rPr>
        <w:t xml:space="preserve">ouverture et la transparence gouvernementales sont tout aussi essentielles. </w:t>
      </w:r>
      <w:r w:rsidR="00C91AD1">
        <w:rPr>
          <w:lang w:val="fr-FR"/>
        </w:rPr>
        <w:t>À</w:t>
      </w:r>
      <w:r w:rsidRPr="0026787B">
        <w:rPr>
          <w:lang w:val="fr-FR"/>
        </w:rPr>
        <w:t xml:space="preserve"> moins de fournir </w:t>
      </w:r>
      <w:r w:rsidRPr="0026787B">
        <w:rPr>
          <w:lang w:val="fr-FR"/>
        </w:rPr>
        <w:lastRenderedPageBreak/>
        <w:t>au public les informations qui relèvent du fonctionnement du gouvernement, il est impossible pour l</w:t>
      </w:r>
      <w:r w:rsidR="00CB54AA" w:rsidRPr="0026787B">
        <w:rPr>
          <w:lang w:val="fr-FR"/>
        </w:rPr>
        <w:t>’</w:t>
      </w:r>
      <w:r w:rsidRPr="0026787B">
        <w:rPr>
          <w:lang w:val="fr-FR"/>
        </w:rPr>
        <w:t>ensemble des citoyens d</w:t>
      </w:r>
      <w:r w:rsidR="00CB54AA" w:rsidRPr="0026787B">
        <w:rPr>
          <w:lang w:val="fr-FR"/>
        </w:rPr>
        <w:t>’</w:t>
      </w:r>
      <w:r w:rsidRPr="0026787B">
        <w:rPr>
          <w:lang w:val="fr-FR"/>
        </w:rPr>
        <w:t>exercer pleinement et de manière efficace son droit à commenter les actions du gouvernement. La conséquence est que la responsabilité démocratique est inextricablement liée à la transparence.</w:t>
      </w:r>
    </w:p>
    <w:p w14:paraId="79EF0807" w14:textId="6B168D51" w:rsidR="00CF5CC4" w:rsidRPr="0026787B" w:rsidRDefault="00CF5CC4" w:rsidP="00026722">
      <w:pPr>
        <w:rPr>
          <w:lang w:val="fr-FR"/>
        </w:rPr>
      </w:pPr>
      <w:r w:rsidRPr="0026787B">
        <w:rPr>
          <w:lang w:val="fr-FR"/>
        </w:rPr>
        <w:t xml:space="preserve">Au cours du siècle dernier, les </w:t>
      </w:r>
      <w:r w:rsidR="00725D25">
        <w:rPr>
          <w:lang w:val="fr-FR"/>
        </w:rPr>
        <w:t>É</w:t>
      </w:r>
      <w:r w:rsidRPr="0026787B">
        <w:rPr>
          <w:lang w:val="fr-FR"/>
        </w:rPr>
        <w:t>tats-Unis ont réalisé des avancées significatives en allant vers plus d</w:t>
      </w:r>
      <w:r w:rsidR="00CB54AA" w:rsidRPr="0026787B">
        <w:rPr>
          <w:lang w:val="fr-FR"/>
        </w:rPr>
        <w:t>’</w:t>
      </w:r>
      <w:r w:rsidRPr="0026787B">
        <w:rPr>
          <w:lang w:val="fr-FR"/>
        </w:rPr>
        <w:t xml:space="preserve">ouverture et vers plus de participation citoyenne. Les auditions devant le </w:t>
      </w:r>
      <w:r w:rsidR="0036624B">
        <w:rPr>
          <w:lang w:val="fr-FR"/>
        </w:rPr>
        <w:t>S</w:t>
      </w:r>
      <w:r w:rsidRPr="0026787B">
        <w:rPr>
          <w:lang w:val="fr-FR"/>
        </w:rPr>
        <w:t xml:space="preserve">énat des candidats à la </w:t>
      </w:r>
      <w:r w:rsidR="0063539C">
        <w:rPr>
          <w:lang w:val="fr-FR"/>
        </w:rPr>
        <w:t>C</w:t>
      </w:r>
      <w:r w:rsidRPr="0026787B">
        <w:rPr>
          <w:lang w:val="fr-FR"/>
        </w:rPr>
        <w:t>our suprême fédérale qui jadis se tenaient en secret sont aujourd</w:t>
      </w:r>
      <w:r w:rsidR="00CB54AA" w:rsidRPr="0026787B">
        <w:rPr>
          <w:lang w:val="fr-FR"/>
        </w:rPr>
        <w:t>’</w:t>
      </w:r>
      <w:r w:rsidRPr="0026787B">
        <w:rPr>
          <w:lang w:val="fr-FR"/>
        </w:rPr>
        <w:t>hui ouvertes à la participation et au contrôle du public. De plus, le Congrès a voté différentes lois visant à ouvrir les procédures et le fonctionnement du gouvernement, parmi lesquelles la loi sur la procédure administrative (APA), la loi sur la liberté de l</w:t>
      </w:r>
      <w:r w:rsidR="00CB54AA" w:rsidRPr="0026787B">
        <w:rPr>
          <w:lang w:val="fr-FR"/>
        </w:rPr>
        <w:t>’</w:t>
      </w:r>
      <w:r w:rsidRPr="0026787B">
        <w:rPr>
          <w:lang w:val="fr-FR"/>
        </w:rPr>
        <w:t xml:space="preserve">information (FOIA), la loi fédérale sur les comités consultatifs (FACA), et la loi </w:t>
      </w:r>
      <w:r w:rsidR="00725D25">
        <w:rPr>
          <w:rFonts w:eastAsia="SimSun"/>
          <w:lang w:val="fr-FR"/>
        </w:rPr>
        <w:t>«</w:t>
      </w:r>
      <w:r w:rsidR="001946B9">
        <w:rPr>
          <w:rFonts w:ascii="Times New Roman" w:eastAsia="SimSun" w:hAnsi="Times New Roman"/>
          <w:lang w:val="fr-FR"/>
        </w:rPr>
        <w:t> </w:t>
      </w:r>
      <w:r w:rsidRPr="0026787B">
        <w:rPr>
          <w:lang w:val="fr-FR"/>
        </w:rPr>
        <w:t>Government in the Sunshine.</w:t>
      </w:r>
      <w:r w:rsidR="001946B9">
        <w:rPr>
          <w:rFonts w:ascii="Times New Roman" w:eastAsia="SimSun" w:hAnsi="Times New Roman"/>
          <w:lang w:val="fr-FR"/>
        </w:rPr>
        <w:t> </w:t>
      </w:r>
      <w:r w:rsidR="00725D25">
        <w:rPr>
          <w:rFonts w:eastAsia="SimSun"/>
          <w:lang w:val="fr-FR"/>
        </w:rPr>
        <w:t>»</w:t>
      </w:r>
      <w:r w:rsidRPr="0026787B">
        <w:rPr>
          <w:rStyle w:val="Appelnotedebasdep1"/>
          <w:rFonts w:eastAsia="SimSun"/>
          <w:lang w:val="fr-FR"/>
        </w:rPr>
        <w:footnoteReference w:id="112"/>
      </w:r>
      <w:r w:rsidRPr="0026787B">
        <w:rPr>
          <w:lang w:val="fr-FR"/>
        </w:rPr>
        <w:t> Bon nombre de ces efforts pour augmenter l</w:t>
      </w:r>
      <w:r w:rsidR="00CB54AA" w:rsidRPr="0026787B">
        <w:rPr>
          <w:lang w:val="fr-FR"/>
        </w:rPr>
        <w:t>’</w:t>
      </w:r>
      <w:r w:rsidRPr="0026787B">
        <w:rPr>
          <w:lang w:val="fr-FR"/>
        </w:rPr>
        <w:t>ouverture et la transparence ont renforcé la capacité de tous les citoyens à participer au fonctionnement des procédures gouvernementales.</w:t>
      </w:r>
    </w:p>
    <w:p w14:paraId="30EC28CB" w14:textId="60C833AE" w:rsidR="00CF5CC4" w:rsidRPr="0026787B" w:rsidRDefault="00CF5CC4" w:rsidP="00CF5CC4">
      <w:pPr>
        <w:rPr>
          <w:lang w:val="fr-FR"/>
        </w:rPr>
      </w:pPr>
      <w:r w:rsidRPr="0026787B">
        <w:rPr>
          <w:lang w:val="fr-FR"/>
        </w:rPr>
        <w:t>L</w:t>
      </w:r>
      <w:r w:rsidR="00CB54AA" w:rsidRPr="0026787B">
        <w:rPr>
          <w:lang w:val="fr-FR"/>
        </w:rPr>
        <w:t>’</w:t>
      </w:r>
      <w:r w:rsidRPr="0026787B">
        <w:rPr>
          <w:lang w:val="fr-FR"/>
        </w:rPr>
        <w:t>avènement de l</w:t>
      </w:r>
      <w:r w:rsidR="00CB54AA" w:rsidRPr="0026787B">
        <w:rPr>
          <w:lang w:val="fr-FR"/>
        </w:rPr>
        <w:t>’</w:t>
      </w:r>
      <w:r w:rsidRPr="0026787B">
        <w:rPr>
          <w:lang w:val="fr-FR"/>
        </w:rPr>
        <w:t>ère du numérique a le potentiel pour pousser encore plus loin le mouvement en faveur de l</w:t>
      </w:r>
      <w:r w:rsidR="00CB54AA" w:rsidRPr="0026787B">
        <w:rPr>
          <w:lang w:val="fr-FR"/>
        </w:rPr>
        <w:t>’</w:t>
      </w:r>
      <w:r w:rsidRPr="0026787B">
        <w:rPr>
          <w:lang w:val="fr-FR"/>
        </w:rPr>
        <w:t>ouverture et de la transparence. En effet, les agences gouvernementales publient sur leur site Internet des quantités d</w:t>
      </w:r>
      <w:r w:rsidR="00CB54AA" w:rsidRPr="0026787B">
        <w:rPr>
          <w:lang w:val="fr-FR"/>
        </w:rPr>
        <w:t>’</w:t>
      </w:r>
      <w:r w:rsidRPr="0026787B">
        <w:rPr>
          <w:lang w:val="fr-FR"/>
        </w:rPr>
        <w:t>informations. Dans certains domaines, comme celui de l</w:t>
      </w:r>
      <w:r w:rsidR="00CB54AA" w:rsidRPr="0026787B">
        <w:rPr>
          <w:lang w:val="fr-FR"/>
        </w:rPr>
        <w:t>’</w:t>
      </w:r>
      <w:r w:rsidRPr="0026787B">
        <w:rPr>
          <w:lang w:val="fr-FR"/>
        </w:rPr>
        <w:t>environnement, le public bénéficie de cette masse d</w:t>
      </w:r>
      <w:r w:rsidR="00CB54AA" w:rsidRPr="0026787B">
        <w:rPr>
          <w:lang w:val="fr-FR"/>
        </w:rPr>
        <w:t>’</w:t>
      </w:r>
      <w:r w:rsidRPr="0026787B">
        <w:rPr>
          <w:lang w:val="fr-FR"/>
        </w:rPr>
        <w:t>informations accessibles en ligne. Associées à d</w:t>
      </w:r>
      <w:r w:rsidR="00CB54AA" w:rsidRPr="0026787B">
        <w:rPr>
          <w:lang w:val="fr-FR"/>
        </w:rPr>
        <w:t>’</w:t>
      </w:r>
      <w:r w:rsidRPr="0026787B">
        <w:rPr>
          <w:lang w:val="fr-FR"/>
        </w:rPr>
        <w:t>autres informations techniques et juridiques tantôt disponibles sur des sites web gouvernementaux tantôt sur des sites Internet non gouvernementaux, les particuliers et les associations peuvent ainsi trouver toutes les informations dont ils ont besoin pour se lancer dans la lutte pour la défense de l</w:t>
      </w:r>
      <w:r w:rsidR="00CB54AA" w:rsidRPr="0026787B">
        <w:rPr>
          <w:lang w:val="fr-FR"/>
        </w:rPr>
        <w:t>’</w:t>
      </w:r>
      <w:r w:rsidRPr="0026787B">
        <w:rPr>
          <w:lang w:val="fr-FR"/>
        </w:rPr>
        <w:t>environnement.</w:t>
      </w:r>
    </w:p>
    <w:p w14:paraId="7E2A0666" w14:textId="1783963B" w:rsidR="00CF5CC4" w:rsidRPr="0026787B" w:rsidRDefault="00CF5CC4" w:rsidP="00CF5CC4">
      <w:pPr>
        <w:rPr>
          <w:lang w:val="fr-FR"/>
        </w:rPr>
      </w:pPr>
      <w:r w:rsidRPr="0026787B">
        <w:rPr>
          <w:lang w:val="fr-FR"/>
        </w:rPr>
        <w:t>Ceci étant dit, il faut reconnaître que la situation n</w:t>
      </w:r>
      <w:r w:rsidR="00CB54AA" w:rsidRPr="0026787B">
        <w:rPr>
          <w:lang w:val="fr-FR"/>
        </w:rPr>
        <w:t>’</w:t>
      </w:r>
      <w:r w:rsidRPr="0026787B">
        <w:rPr>
          <w:lang w:val="fr-FR"/>
        </w:rPr>
        <w:t>est guère satisfaisante et que les avancées vers des procédures gouvernementales plus ouvertes connaissent des hésitations et restent incomplètes. Même si les lois APA et FOIA imposent aux agences de publier divers types de documents, ces lois sont fréquemment non respectées. Qui plus est, bien que la loi sur la liberté de l</w:t>
      </w:r>
      <w:r w:rsidR="00CB54AA" w:rsidRPr="0026787B">
        <w:rPr>
          <w:lang w:val="fr-FR"/>
        </w:rPr>
        <w:t>’</w:t>
      </w:r>
      <w:r w:rsidRPr="0026787B">
        <w:rPr>
          <w:lang w:val="fr-FR"/>
        </w:rPr>
        <w:t>information exige des agences gouvernementales qu</w:t>
      </w:r>
      <w:r w:rsidR="00CB54AA" w:rsidRPr="0026787B">
        <w:rPr>
          <w:lang w:val="fr-FR"/>
        </w:rPr>
        <w:t>’</w:t>
      </w:r>
      <w:r w:rsidRPr="0026787B">
        <w:rPr>
          <w:lang w:val="fr-FR"/>
        </w:rPr>
        <w:t>elles divulguent divers types d</w:t>
      </w:r>
      <w:r w:rsidR="00CB54AA" w:rsidRPr="0026787B">
        <w:rPr>
          <w:lang w:val="fr-FR"/>
        </w:rPr>
        <w:t>’</w:t>
      </w:r>
      <w:r w:rsidRPr="0026787B">
        <w:rPr>
          <w:lang w:val="fr-FR"/>
        </w:rPr>
        <w:t>informations sur une simple demande, cette loi se heurte à de nombreuses exceptions et doit faire face à des retards et des efforts calculés pour éviter la communication des informations. Le résultat final est loin d</w:t>
      </w:r>
      <w:r w:rsidR="00CB54AA" w:rsidRPr="0026787B">
        <w:rPr>
          <w:lang w:val="fr-FR"/>
        </w:rPr>
        <w:t>’</w:t>
      </w:r>
      <w:r w:rsidRPr="0026787B">
        <w:rPr>
          <w:lang w:val="fr-FR"/>
        </w:rPr>
        <w:t>être parfait, et bien en</w:t>
      </w:r>
      <w:r w:rsidR="0063539C">
        <w:rPr>
          <w:lang w:val="fr-FR"/>
        </w:rPr>
        <w:t xml:space="preserve"> </w:t>
      </w:r>
      <w:r w:rsidRPr="0026787B">
        <w:rPr>
          <w:lang w:val="fr-FR"/>
        </w:rPr>
        <w:t>deçà de celui que l</w:t>
      </w:r>
      <w:r w:rsidR="00CB54AA" w:rsidRPr="0026787B">
        <w:rPr>
          <w:lang w:val="fr-FR"/>
        </w:rPr>
        <w:t>’</w:t>
      </w:r>
      <w:r w:rsidRPr="0026787B">
        <w:rPr>
          <w:lang w:val="fr-FR"/>
        </w:rPr>
        <w:t>on pourrait escompter dans un autre contexte. Pour finir, le but visé d</w:t>
      </w:r>
      <w:r w:rsidR="00CB54AA" w:rsidRPr="0026787B">
        <w:rPr>
          <w:lang w:val="fr-FR"/>
        </w:rPr>
        <w:t>’</w:t>
      </w:r>
      <w:r w:rsidRPr="0026787B">
        <w:rPr>
          <w:lang w:val="fr-FR"/>
        </w:rPr>
        <w:t xml:space="preserve">un gouvernement plus ouvert reste aux </w:t>
      </w:r>
      <w:r w:rsidR="0063539C">
        <w:rPr>
          <w:lang w:val="fr-FR"/>
        </w:rPr>
        <w:t>É</w:t>
      </w:r>
      <w:r w:rsidRPr="0026787B">
        <w:rPr>
          <w:lang w:val="fr-FR"/>
        </w:rPr>
        <w:t>tats-Unis un chantier en cours de réalisation dans les domaines tant du numérique que du non numérique.</w:t>
      </w:r>
    </w:p>
    <w:p w14:paraId="17383AE1" w14:textId="237A0BE0" w:rsidR="00CF2029" w:rsidRPr="0026787B" w:rsidRDefault="00CF5CC4" w:rsidP="00CF2029">
      <w:pPr>
        <w:rPr>
          <w:lang w:val="fr-FR"/>
        </w:rPr>
      </w:pPr>
      <w:r w:rsidRPr="0026787B">
        <w:rPr>
          <w:lang w:val="fr-FR"/>
        </w:rPr>
        <w:t>En outre, il existe d</w:t>
      </w:r>
      <w:r w:rsidR="00CB54AA" w:rsidRPr="0026787B">
        <w:rPr>
          <w:lang w:val="fr-FR"/>
        </w:rPr>
        <w:t>’</w:t>
      </w:r>
      <w:r w:rsidRPr="0026787B">
        <w:rPr>
          <w:lang w:val="fr-FR"/>
        </w:rPr>
        <w:t xml:space="preserve">autres lacunes de taille dans la transparence. Même si le gouvernement a promulgué plusieurs lois dont la visée </w:t>
      </w:r>
      <w:r w:rsidRPr="0026787B">
        <w:rPr>
          <w:lang w:val="fr-FR"/>
        </w:rPr>
        <w:lastRenderedPageBreak/>
        <w:t>est de promouvoir plus d</w:t>
      </w:r>
      <w:r w:rsidR="00CB54AA" w:rsidRPr="0026787B">
        <w:rPr>
          <w:lang w:val="fr-FR"/>
        </w:rPr>
        <w:t>’</w:t>
      </w:r>
      <w:r w:rsidRPr="0026787B">
        <w:rPr>
          <w:lang w:val="fr-FR"/>
        </w:rPr>
        <w:t>ouverture et de transparence, il a maintenu le secret sur des aspects majeurs de ses activités.</w:t>
      </w:r>
      <w:r w:rsidRPr="0026787B">
        <w:rPr>
          <w:rStyle w:val="Appelnotedebasdep1"/>
          <w:lang w:val="fr-FR"/>
        </w:rPr>
        <w:footnoteReference w:id="113"/>
      </w:r>
      <w:r w:rsidRPr="0026787B">
        <w:rPr>
          <w:lang w:val="fr-FR"/>
        </w:rPr>
        <w:t xml:space="preserve"> Le gouvernement a, en particulier, mené des opérations de cybersurveillance massives et secrètes.</w:t>
      </w:r>
      <w:r w:rsidRPr="0026787B">
        <w:rPr>
          <w:rStyle w:val="Appelnotedebasdep1"/>
          <w:lang w:val="fr-FR"/>
        </w:rPr>
        <w:footnoteReference w:id="114"/>
      </w:r>
      <w:r w:rsidRPr="0026787B">
        <w:rPr>
          <w:lang w:val="fr-FR"/>
        </w:rPr>
        <w:t xml:space="preserve"> Sans Edward Snowden, un consultant qui travaillait pour l</w:t>
      </w:r>
      <w:r w:rsidR="00CB54AA" w:rsidRPr="0026787B">
        <w:rPr>
          <w:lang w:val="fr-FR"/>
        </w:rPr>
        <w:t>’</w:t>
      </w:r>
      <w:r w:rsidRPr="0026787B">
        <w:rPr>
          <w:lang w:val="fr-FR"/>
        </w:rPr>
        <w:t>Agence de sécurité nationale américaine (NSA) et qui a volé et révélé des milliers de documents de cette agence,</w:t>
      </w:r>
      <w:r w:rsidRPr="0026787B">
        <w:rPr>
          <w:rStyle w:val="Appelnotedebasdep1"/>
          <w:lang w:val="fr-FR"/>
        </w:rPr>
        <w:footnoteReference w:id="115"/>
      </w:r>
      <w:r w:rsidRPr="0026787B">
        <w:rPr>
          <w:lang w:val="fr-FR"/>
        </w:rPr>
        <w:t xml:space="preserve"> les Américains n</w:t>
      </w:r>
      <w:r w:rsidR="00CB54AA" w:rsidRPr="0026787B">
        <w:rPr>
          <w:lang w:val="fr-FR"/>
        </w:rPr>
        <w:t>’</w:t>
      </w:r>
      <w:r w:rsidRPr="0026787B">
        <w:rPr>
          <w:lang w:val="fr-FR"/>
        </w:rPr>
        <w:t>auraient probablement jamais rien su sur la taille et l</w:t>
      </w:r>
      <w:r w:rsidR="00CB54AA" w:rsidRPr="0026787B">
        <w:rPr>
          <w:lang w:val="fr-FR"/>
        </w:rPr>
        <w:t>’</w:t>
      </w:r>
      <w:r w:rsidRPr="0026787B">
        <w:rPr>
          <w:lang w:val="fr-FR"/>
        </w:rPr>
        <w:t>ampleur du programme de cybersurveillance.</w:t>
      </w:r>
      <w:r w:rsidRPr="0026787B">
        <w:rPr>
          <w:rStyle w:val="Appelnotedebasdep1"/>
          <w:lang w:val="fr-FR"/>
        </w:rPr>
        <w:footnoteReference w:id="116"/>
      </w:r>
      <w:r w:rsidRPr="0026787B">
        <w:rPr>
          <w:lang w:val="fr-FR"/>
        </w:rPr>
        <w:t xml:space="preserve"> Effectivement, la taille du programme de surveillance et de collecte d</w:t>
      </w:r>
      <w:r w:rsidR="00CB54AA" w:rsidRPr="0026787B">
        <w:rPr>
          <w:lang w:val="fr-FR"/>
        </w:rPr>
        <w:t>’</w:t>
      </w:r>
      <w:r w:rsidRPr="0026787B">
        <w:rPr>
          <w:lang w:val="fr-FR"/>
        </w:rPr>
        <w:t>informations par la NSA était absolument ahurissante.</w:t>
      </w:r>
      <w:r w:rsidRPr="0026787B">
        <w:rPr>
          <w:rStyle w:val="Appelnotedebasdep1"/>
          <w:lang w:val="fr-FR"/>
        </w:rPr>
        <w:footnoteReference w:id="117"/>
      </w:r>
      <w:r w:rsidRPr="0026787B">
        <w:rPr>
          <w:lang w:val="fr-FR"/>
        </w:rPr>
        <w:t xml:space="preserve"> Pour cela, l</w:t>
      </w:r>
      <w:r w:rsidR="00CB54AA" w:rsidRPr="0026787B">
        <w:rPr>
          <w:lang w:val="fr-FR"/>
        </w:rPr>
        <w:t>’</w:t>
      </w:r>
      <w:r w:rsidRPr="0026787B">
        <w:rPr>
          <w:lang w:val="fr-FR"/>
        </w:rPr>
        <w:t>Agence de sécurité nationale a dépensé quelque 10,8 milliards de dollars par an</w:t>
      </w:r>
      <w:r w:rsidRPr="0026787B">
        <w:rPr>
          <w:rStyle w:val="Appelnotedebasdep1"/>
          <w:lang w:val="fr-FR"/>
        </w:rPr>
        <w:footnoteReference w:id="118"/>
      </w:r>
      <w:r w:rsidRPr="0026787B">
        <w:rPr>
          <w:lang w:val="fr-FR"/>
        </w:rPr>
        <w:t xml:space="preserve"> et a déployé un personnel d</w:t>
      </w:r>
      <w:r w:rsidR="00CB54AA" w:rsidRPr="0026787B">
        <w:rPr>
          <w:lang w:val="fr-FR"/>
        </w:rPr>
        <w:t>’</w:t>
      </w:r>
      <w:r w:rsidRPr="0026787B">
        <w:rPr>
          <w:lang w:val="fr-FR"/>
        </w:rPr>
        <w:t>environ 35</w:t>
      </w:r>
      <w:r w:rsidR="001946B9">
        <w:rPr>
          <w:rFonts w:ascii="Times New Roman" w:hAnsi="Times New Roman"/>
          <w:lang w:val="fr-FR"/>
        </w:rPr>
        <w:t> </w:t>
      </w:r>
      <w:r w:rsidRPr="0026787B">
        <w:rPr>
          <w:lang w:val="fr-FR"/>
        </w:rPr>
        <w:t>000 employés.</w:t>
      </w:r>
      <w:r w:rsidRPr="0026787B">
        <w:rPr>
          <w:rStyle w:val="Appelnotedebasdep1"/>
          <w:lang w:val="fr-FR"/>
        </w:rPr>
        <w:footnoteReference w:id="119"/>
      </w:r>
      <w:r w:rsidRPr="0026787B">
        <w:rPr>
          <w:lang w:val="fr-FR"/>
        </w:rPr>
        <w:t xml:space="preserve"> Pendant de longues années, la NSA a systématiquement collecté des données sur pratiquement tout un chacun, y compris des millions de relevés d</w:t>
      </w:r>
      <w:r w:rsidR="00CB54AA" w:rsidRPr="0026787B">
        <w:rPr>
          <w:lang w:val="fr-FR"/>
        </w:rPr>
        <w:t>’</w:t>
      </w:r>
      <w:r w:rsidRPr="0026787B">
        <w:rPr>
          <w:lang w:val="fr-FR"/>
        </w:rPr>
        <w:t>appels de téléphones portables, de courriels, de texto, de relevés d</w:t>
      </w:r>
      <w:r w:rsidR="00CB54AA" w:rsidRPr="0026787B">
        <w:rPr>
          <w:lang w:val="fr-FR"/>
        </w:rPr>
        <w:t>’</w:t>
      </w:r>
      <w:r w:rsidRPr="0026787B">
        <w:rPr>
          <w:lang w:val="fr-FR"/>
        </w:rPr>
        <w:t>achats réglés par cartes bancaires, de même que des informations glanées sur les réseaux sociaux.</w:t>
      </w:r>
      <w:r w:rsidRPr="0026787B">
        <w:rPr>
          <w:rStyle w:val="Appelnotedebasdep1"/>
          <w:lang w:val="fr-FR"/>
        </w:rPr>
        <w:footnoteReference w:id="120"/>
      </w:r>
      <w:r w:rsidRPr="0026787B">
        <w:rPr>
          <w:lang w:val="fr-FR"/>
        </w:rPr>
        <w:t xml:space="preserve"> La NSA a ajouté à ce dispositif un système (musclé) qui lui permettait d</w:t>
      </w:r>
      <w:r w:rsidR="00CB54AA" w:rsidRPr="0026787B">
        <w:rPr>
          <w:lang w:val="fr-FR"/>
        </w:rPr>
        <w:t>’</w:t>
      </w:r>
      <w:r w:rsidRPr="0026787B">
        <w:rPr>
          <w:lang w:val="fr-FR"/>
        </w:rPr>
        <w:t>accéder avec facilité aux comptes Yahoo et Twitter.</w:t>
      </w:r>
      <w:r w:rsidRPr="0026787B">
        <w:rPr>
          <w:rStyle w:val="Appelnotedebasdep1"/>
          <w:lang w:val="fr-FR"/>
        </w:rPr>
        <w:footnoteReference w:id="121"/>
      </w:r>
      <w:r w:rsidRPr="0026787B">
        <w:rPr>
          <w:lang w:val="fr-FR"/>
        </w:rPr>
        <w:t xml:space="preserve"> Au final, la NSA a intercepté environ 182 millions d</w:t>
      </w:r>
      <w:r w:rsidR="00CB54AA" w:rsidRPr="0026787B">
        <w:rPr>
          <w:lang w:val="fr-FR"/>
        </w:rPr>
        <w:t>’</w:t>
      </w:r>
      <w:r w:rsidRPr="0026787B">
        <w:rPr>
          <w:lang w:val="fr-FR"/>
        </w:rPr>
        <w:t xml:space="preserve">enregistrements de communications, qui couvrent aussi bien les courriels </w:t>
      </w:r>
      <w:r w:rsidR="00725D25">
        <w:rPr>
          <w:rFonts w:eastAsia="SimSun"/>
          <w:lang w:val="fr-FR"/>
        </w:rPr>
        <w:t>«</w:t>
      </w:r>
      <w:r w:rsidR="001946B9">
        <w:rPr>
          <w:rFonts w:ascii="Times New Roman" w:eastAsia="SimSun" w:hAnsi="Times New Roman"/>
          <w:lang w:val="fr-FR"/>
        </w:rPr>
        <w:t> </w:t>
      </w:r>
      <w:r w:rsidRPr="0026787B">
        <w:rPr>
          <w:lang w:val="fr-FR"/>
        </w:rPr>
        <w:t>reçus</w:t>
      </w:r>
      <w:r w:rsidR="001946B9">
        <w:rPr>
          <w:rFonts w:ascii="Times New Roman" w:eastAsia="SimSun" w:hAnsi="Times New Roman"/>
          <w:lang w:val="fr-FR"/>
        </w:rPr>
        <w:t> </w:t>
      </w:r>
      <w:r w:rsidR="00725D25">
        <w:rPr>
          <w:rFonts w:eastAsia="SimSun"/>
          <w:lang w:val="fr-FR"/>
        </w:rPr>
        <w:t>»</w:t>
      </w:r>
      <w:r w:rsidRPr="0026787B">
        <w:rPr>
          <w:lang w:val="fr-FR"/>
        </w:rPr>
        <w:t xml:space="preserve"> qu</w:t>
      </w:r>
      <w:r w:rsidR="00CB54AA" w:rsidRPr="0026787B">
        <w:rPr>
          <w:lang w:val="fr-FR"/>
        </w:rPr>
        <w:t>’</w:t>
      </w:r>
      <w:r w:rsidRPr="0026787B">
        <w:rPr>
          <w:lang w:val="fr-FR"/>
        </w:rPr>
        <w:t>envoyés</w:t>
      </w:r>
      <w:r w:rsidR="001946B9">
        <w:rPr>
          <w:rFonts w:ascii="Times New Roman" w:eastAsia="SimSun" w:hAnsi="Times New Roman"/>
          <w:lang w:val="fr-FR"/>
        </w:rPr>
        <w:t> </w:t>
      </w:r>
      <w:r w:rsidR="00725D25">
        <w:rPr>
          <w:rFonts w:eastAsia="SimSun"/>
          <w:lang w:val="fr-FR"/>
        </w:rPr>
        <w:t>»</w:t>
      </w:r>
      <w:r w:rsidRPr="0026787B">
        <w:rPr>
          <w:lang w:val="fr-FR"/>
        </w:rPr>
        <w:t>, que des informations texte, audio et vidéo.</w:t>
      </w:r>
      <w:r w:rsidRPr="0026787B">
        <w:rPr>
          <w:rStyle w:val="Appelnotedebasdep1"/>
          <w:lang w:val="fr-FR"/>
        </w:rPr>
        <w:footnoteReference w:id="122"/>
      </w:r>
      <w:r w:rsidRPr="0026787B">
        <w:rPr>
          <w:lang w:val="fr-FR"/>
        </w:rPr>
        <w:t xml:space="preserve"> Dans une perspective d</w:t>
      </w:r>
      <w:r w:rsidR="00CB54AA" w:rsidRPr="0026787B">
        <w:rPr>
          <w:lang w:val="fr-FR"/>
        </w:rPr>
        <w:t>’</w:t>
      </w:r>
      <w:r w:rsidRPr="0026787B">
        <w:rPr>
          <w:lang w:val="fr-FR"/>
        </w:rPr>
        <w:t>ouverture, de transparence, et de contrôle démocratique, le programme mis en place par la NSA était tout particulièrement inquiétant. Il ne fait aucun doute que le gouvernement a un intérêt à protéger certains aspects de son programme contre des terroristes, mais la difficulté majeure dans notre cas de figure est que ce programme de la NSA s</w:t>
      </w:r>
      <w:r w:rsidR="00CB54AA" w:rsidRPr="0026787B">
        <w:rPr>
          <w:lang w:val="fr-FR"/>
        </w:rPr>
        <w:t>’</w:t>
      </w:r>
      <w:r w:rsidRPr="0026787B">
        <w:rPr>
          <w:lang w:val="fr-FR"/>
        </w:rPr>
        <w:t xml:space="preserve">est retrouvé enveloppé dans un secret quasi complet sans le moindre semblant de contrôle démocratique. </w:t>
      </w:r>
    </w:p>
    <w:sectPr w:rsidR="00CF2029" w:rsidRPr="0026787B" w:rsidSect="00AC2ED5">
      <w:headerReference w:type="default" r:id="rId10"/>
      <w:footerReference w:type="even" r:id="rId11"/>
      <w:footerReference w:type="default" r:id="rId12"/>
      <w:headerReference w:type="first" r:id="rId13"/>
      <w:footerReference w:type="first" r:id="rId14"/>
      <w:pgSz w:w="11900" w:h="16840"/>
      <w:pgMar w:top="1440" w:right="2880" w:bottom="1440" w:left="2880" w:header="708" w:footer="708" w:gutter="0"/>
      <w:pgNumType w:start="5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9B31" w14:textId="77777777" w:rsidR="004717C5" w:rsidRDefault="004717C5" w:rsidP="008508B6">
      <w:r>
        <w:separator/>
      </w:r>
    </w:p>
  </w:endnote>
  <w:endnote w:type="continuationSeparator" w:id="0">
    <w:p w14:paraId="5D8216E9" w14:textId="77777777" w:rsidR="004717C5" w:rsidRDefault="004717C5"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1946B9" w:rsidRDefault="001946B9"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1946B9" w:rsidRDefault="001946B9"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3B373E1E" w:rsidR="001946B9" w:rsidRPr="00687E5A" w:rsidRDefault="001946B9"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E6C50">
      <w:rPr>
        <w:rStyle w:val="Numrodepage"/>
        <w:noProof/>
      </w:rPr>
      <w:t>72</w:t>
    </w:r>
    <w:r w:rsidRPr="00687E5A">
      <w:rPr>
        <w:rStyle w:val="Numrodepage"/>
      </w:rPr>
      <w:fldChar w:fldCharType="end"/>
    </w:r>
    <w:r>
      <w:rPr>
        <w:rStyle w:val="Numrodepage"/>
      </w:rPr>
      <w:t xml:space="preserve"> –</w:t>
    </w:r>
  </w:p>
  <w:p w14:paraId="6F168749" w14:textId="2946D13D" w:rsidR="001946B9" w:rsidRPr="008C718B" w:rsidRDefault="001946B9" w:rsidP="00097788">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w:t>
    </w:r>
    <w:r w:rsidR="00DA3A16">
      <w:rPr>
        <w:b/>
        <w:color w:val="0070C0"/>
        <w:sz w:val="16"/>
        <w:szCs w:val="16"/>
      </w:rPr>
      <w:t xml:space="preserve"> [2016 – Vol 2]</w:t>
    </w:r>
  </w:p>
  <w:p w14:paraId="407918D7" w14:textId="6798E948" w:rsidR="001946B9" w:rsidRPr="00097788" w:rsidRDefault="001946B9"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32E6B18C" w:rsidR="001946B9" w:rsidRPr="00687E5A" w:rsidRDefault="001946B9"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FE6C50">
      <w:rPr>
        <w:rStyle w:val="Numrodepage"/>
        <w:noProof/>
      </w:rPr>
      <w:t>59</w:t>
    </w:r>
    <w:r w:rsidRPr="00687E5A">
      <w:rPr>
        <w:rStyle w:val="Numrodepage"/>
      </w:rPr>
      <w:fldChar w:fldCharType="end"/>
    </w:r>
    <w:r>
      <w:rPr>
        <w:rStyle w:val="Numrodepage"/>
      </w:rPr>
      <w:t xml:space="preserve"> –</w:t>
    </w:r>
  </w:p>
  <w:p w14:paraId="59060A3C" w14:textId="5E2A69D2" w:rsidR="001946B9" w:rsidRPr="008C718B" w:rsidRDefault="001946B9" w:rsidP="00097788">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Digital and Data Law</w:t>
    </w:r>
    <w:r w:rsidR="00AC2ED5">
      <w:rPr>
        <w:b/>
        <w:color w:val="0070C0"/>
        <w:sz w:val="16"/>
        <w:szCs w:val="16"/>
      </w:rPr>
      <w:t xml:space="preserve"> [2016 – Vol 2]</w:t>
    </w:r>
  </w:p>
  <w:p w14:paraId="69EF0AD9" w14:textId="078A5567" w:rsidR="001946B9" w:rsidRPr="00097788" w:rsidRDefault="001946B9"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BB810" w14:textId="77777777" w:rsidR="004717C5" w:rsidRDefault="004717C5" w:rsidP="008508B6">
      <w:r>
        <w:separator/>
      </w:r>
    </w:p>
  </w:footnote>
  <w:footnote w:type="continuationSeparator" w:id="0">
    <w:p w14:paraId="5ED9E584" w14:textId="77777777" w:rsidR="004717C5" w:rsidRDefault="004717C5" w:rsidP="008508B6">
      <w:r>
        <w:continuationSeparator/>
      </w:r>
    </w:p>
  </w:footnote>
  <w:footnote w:id="1">
    <w:p w14:paraId="344FCB5E" w14:textId="2716EB28" w:rsidR="001946B9" w:rsidRPr="00332A3C" w:rsidRDefault="001946B9" w:rsidP="00CF5CC4">
      <w:pPr>
        <w:pStyle w:val="Notedebasdepage"/>
        <w:tabs>
          <w:tab w:val="left" w:pos="142"/>
        </w:tabs>
      </w:pPr>
      <w:r w:rsidRPr="00332A3C">
        <w:rPr>
          <w:rStyle w:val="Caractresdenotedebasdepage"/>
        </w:rPr>
        <w:footnoteRef/>
      </w:r>
      <w:r w:rsidRPr="00332A3C">
        <w:tab/>
      </w:r>
      <w:r w:rsidRPr="008B2D64">
        <w:rPr>
          <w:smallCaps/>
        </w:rPr>
        <w:t>John Locke</w:t>
      </w:r>
      <w:r w:rsidRPr="00332A3C">
        <w:t xml:space="preserve">, </w:t>
      </w:r>
      <w:r w:rsidRPr="00332A3C">
        <w:rPr>
          <w:i/>
        </w:rPr>
        <w:t>Two Treatises of Government</w:t>
      </w:r>
      <w:r w:rsidRPr="00332A3C">
        <w:t xml:space="preserve"> (1689); </w:t>
      </w:r>
      <w:r w:rsidRPr="008B2D64">
        <w:rPr>
          <w:smallCaps/>
        </w:rPr>
        <w:t>John Locke</w:t>
      </w:r>
      <w:r w:rsidRPr="00332A3C">
        <w:t xml:space="preserve">, </w:t>
      </w:r>
      <w:r w:rsidRPr="00332A3C">
        <w:rPr>
          <w:i/>
        </w:rPr>
        <w:t>Questions Concerning the Law of Nature</w:t>
      </w:r>
      <w:r w:rsidRPr="00332A3C">
        <w:t xml:space="preserve"> (1664).</w:t>
      </w:r>
    </w:p>
  </w:footnote>
  <w:footnote w:id="2">
    <w:p w14:paraId="74399416" w14:textId="68F8DC29" w:rsidR="001946B9" w:rsidRPr="00332A3C" w:rsidRDefault="001946B9" w:rsidP="00CF5CC4">
      <w:pPr>
        <w:pStyle w:val="Notedebasdepage"/>
        <w:tabs>
          <w:tab w:val="left" w:pos="142"/>
        </w:tabs>
      </w:pPr>
      <w:r w:rsidRPr="00332A3C">
        <w:rPr>
          <w:rStyle w:val="Caractresdenotedebasdepage"/>
        </w:rPr>
        <w:footnoteRef/>
      </w:r>
      <w:r w:rsidRPr="00332A3C">
        <w:tab/>
      </w:r>
      <w:r w:rsidRPr="008B2D64">
        <w:rPr>
          <w:smallCaps/>
        </w:rPr>
        <w:t>Thomas Paine</w:t>
      </w:r>
      <w:r w:rsidRPr="00332A3C">
        <w:t xml:space="preserve">, </w:t>
      </w:r>
      <w:r w:rsidRPr="00332A3C">
        <w:rPr>
          <w:i/>
        </w:rPr>
        <w:t>Common Sense</w:t>
      </w:r>
      <w:r>
        <w:rPr>
          <w:i/>
        </w:rPr>
        <w:t>,</w:t>
      </w:r>
      <w:r w:rsidRPr="00332A3C">
        <w:t xml:space="preserve"> </w:t>
      </w:r>
      <w:r>
        <w:t xml:space="preserve">p. </w:t>
      </w:r>
      <w:r w:rsidRPr="00332A3C">
        <w:t>3 (1776) (Dover ed. 1997).</w:t>
      </w:r>
    </w:p>
  </w:footnote>
  <w:footnote w:id="3">
    <w:p w14:paraId="5FF30002" w14:textId="6FEE2D7D" w:rsidR="001946B9" w:rsidRPr="00332A3C" w:rsidRDefault="001946B9" w:rsidP="00CF5CC4">
      <w:pPr>
        <w:pStyle w:val="Notedebasdepage"/>
        <w:tabs>
          <w:tab w:val="left" w:pos="142"/>
        </w:tabs>
        <w:rPr>
          <w:lang w:val="fr-FR"/>
        </w:rPr>
      </w:pPr>
      <w:r w:rsidRPr="00332A3C">
        <w:rPr>
          <w:rStyle w:val="Caractresdenotedebasdepage"/>
        </w:rPr>
        <w:footnoteRef/>
      </w:r>
      <w:r w:rsidRPr="00332A3C">
        <w:rPr>
          <w:lang w:val="fr-FR"/>
        </w:rPr>
        <w:tab/>
        <w:t xml:space="preserve">Voir </w:t>
      </w:r>
      <w:r w:rsidRPr="00332A3C">
        <w:rPr>
          <w:i/>
          <w:lang w:val="fr-FR"/>
        </w:rPr>
        <w:t>Seminole Tribe of Florida v. Florida</w:t>
      </w:r>
      <w:r w:rsidRPr="00332A3C">
        <w:rPr>
          <w:lang w:val="fr-FR"/>
        </w:rPr>
        <w:t xml:space="preserve">, 517 U.S. 44, 96 (1996) (noter </w:t>
      </w:r>
      <w:r>
        <w:rPr>
          <w:lang w:val="fr-FR"/>
        </w:rPr>
        <w:t>« </w:t>
      </w:r>
      <w:r w:rsidRPr="00332A3C">
        <w:rPr>
          <w:lang w:val="fr-FR"/>
        </w:rPr>
        <w:t>qu’il y a des siècles</w:t>
      </w:r>
      <w:r>
        <w:rPr>
          <w:lang w:val="fr-FR"/>
        </w:rPr>
        <w:t> »</w:t>
      </w:r>
      <w:r w:rsidRPr="00332A3C">
        <w:rPr>
          <w:lang w:val="fr-FR"/>
        </w:rPr>
        <w:t xml:space="preserve">, existait une </w:t>
      </w:r>
      <w:r>
        <w:rPr>
          <w:lang w:val="fr-FR"/>
        </w:rPr>
        <w:t>« </w:t>
      </w:r>
      <w:r w:rsidRPr="00332A3C">
        <w:rPr>
          <w:lang w:val="fr-FR"/>
        </w:rPr>
        <w:t>croyance selon laquelle le monarque régnait par la volonté de Dieu</w:t>
      </w:r>
      <w:r>
        <w:rPr>
          <w:lang w:val="fr-FR"/>
        </w:rPr>
        <w:t> » ;</w:t>
      </w:r>
      <w:r w:rsidRPr="00332A3C">
        <w:rPr>
          <w:lang w:val="fr-FR"/>
        </w:rPr>
        <w:t xml:space="preserve"> [traduction personnelle]).</w:t>
      </w:r>
    </w:p>
  </w:footnote>
  <w:footnote w:id="4">
    <w:p w14:paraId="08543BD9" w14:textId="39513850" w:rsidR="001946B9" w:rsidRPr="00332A3C" w:rsidRDefault="001946B9" w:rsidP="00CF5CC4">
      <w:pPr>
        <w:pStyle w:val="Notedebasdepage"/>
        <w:tabs>
          <w:tab w:val="left" w:pos="142"/>
        </w:tabs>
      </w:pPr>
      <w:r w:rsidRPr="00332A3C">
        <w:rPr>
          <w:rStyle w:val="Caractresdenotedebasdepage"/>
        </w:rPr>
        <w:footnoteRef/>
      </w:r>
      <w:r w:rsidRPr="00332A3C">
        <w:tab/>
        <w:t xml:space="preserve">Voir </w:t>
      </w:r>
      <w:r w:rsidR="008B2D64" w:rsidRPr="008B2D64">
        <w:rPr>
          <w:smallCaps/>
        </w:rPr>
        <w:t>Thomas Paine</w:t>
      </w:r>
      <w:r w:rsidR="008B2D64">
        <w:rPr>
          <w:smallCaps/>
        </w:rPr>
        <w:t>,</w:t>
      </w:r>
      <w:r w:rsidRPr="00332A3C">
        <w:t xml:space="preserve"> </w:t>
      </w:r>
      <w:r w:rsidRPr="008B2D64">
        <w:rPr>
          <w:i/>
        </w:rPr>
        <w:t>Common Sense</w:t>
      </w:r>
      <w:r w:rsidR="008B2D64">
        <w:rPr>
          <w:i/>
        </w:rPr>
        <w:t>,</w:t>
      </w:r>
      <w:r w:rsidRPr="00332A3C">
        <w:t xml:space="preserve"> </w:t>
      </w:r>
      <w:r w:rsidR="008B2D64">
        <w:t xml:space="preserve">pp. </w:t>
      </w:r>
      <w:r w:rsidRPr="00332A3C">
        <w:t>6 &amp; 13-14 (1776) (Dover ed. 1997).</w:t>
      </w:r>
    </w:p>
  </w:footnote>
  <w:footnote w:id="5">
    <w:p w14:paraId="2288B59F" w14:textId="1A11F67B" w:rsidR="001946B9" w:rsidRPr="00332A3C" w:rsidRDefault="001946B9" w:rsidP="00CF5CC4">
      <w:pPr>
        <w:pStyle w:val="Notedebasdepage"/>
        <w:tabs>
          <w:tab w:val="left" w:pos="142"/>
        </w:tabs>
        <w:rPr>
          <w:lang w:val="fr-FR"/>
        </w:rPr>
      </w:pPr>
      <w:r w:rsidRPr="00332A3C">
        <w:rPr>
          <w:rStyle w:val="Caractresdenotedebasdepage"/>
        </w:rPr>
        <w:footnoteRef/>
      </w:r>
      <w:r w:rsidRPr="00332A3C">
        <w:rPr>
          <w:lang w:val="fr-FR"/>
        </w:rPr>
        <w:tab/>
        <w:t xml:space="preserve">Déclaration d’Indépendance des </w:t>
      </w:r>
      <w:r>
        <w:rPr>
          <w:lang w:val="fr-FR"/>
        </w:rPr>
        <w:t>É</w:t>
      </w:r>
      <w:r w:rsidRPr="00332A3C">
        <w:rPr>
          <w:lang w:val="fr-FR"/>
        </w:rPr>
        <w:t>tats-Unis (4 juillet 1776).</w:t>
      </w:r>
    </w:p>
  </w:footnote>
  <w:footnote w:id="6">
    <w:p w14:paraId="71AC5AAB" w14:textId="62F9C22D" w:rsidR="001946B9" w:rsidRPr="00332A3C" w:rsidRDefault="001946B9" w:rsidP="00CF5CC4">
      <w:pPr>
        <w:pStyle w:val="Notedebasdepage"/>
        <w:tabs>
          <w:tab w:val="left" w:pos="142"/>
        </w:tabs>
      </w:pPr>
      <w:r w:rsidRPr="00332A3C">
        <w:rPr>
          <w:rStyle w:val="Caractresdenotedebasdepage"/>
        </w:rPr>
        <w:footnoteRef/>
      </w:r>
      <w:r w:rsidRPr="00332A3C">
        <w:tab/>
        <w:t>Traduction personnelle.</w:t>
      </w:r>
    </w:p>
  </w:footnote>
  <w:footnote w:id="7">
    <w:p w14:paraId="7C1F3E04" w14:textId="31A9266C" w:rsidR="001946B9" w:rsidRPr="00332A3C" w:rsidRDefault="001946B9" w:rsidP="00CF5CC4">
      <w:pPr>
        <w:pStyle w:val="Notedebasdepage"/>
        <w:tabs>
          <w:tab w:val="left" w:pos="142"/>
        </w:tabs>
      </w:pPr>
      <w:r w:rsidRPr="00332A3C">
        <w:rPr>
          <w:rStyle w:val="Caractresdenotedebasdepage"/>
        </w:rPr>
        <w:footnoteRef/>
      </w:r>
      <w:r w:rsidRPr="00332A3C">
        <w:tab/>
        <w:t xml:space="preserve">Voir </w:t>
      </w:r>
      <w:r w:rsidRPr="008B2D64">
        <w:rPr>
          <w:smallCaps/>
        </w:rPr>
        <w:t>C. Edwin Baker</w:t>
      </w:r>
      <w:r w:rsidRPr="00332A3C">
        <w:t>, “Scope of the First Amendment Freedom of Speech</w:t>
      </w:r>
      <w:r>
        <w:t>”</w:t>
      </w:r>
      <w:r w:rsidRPr="00332A3C">
        <w:t xml:space="preserve">, 25 </w:t>
      </w:r>
      <w:r w:rsidRPr="00332A3C">
        <w:rPr>
          <w:i/>
        </w:rPr>
        <w:t>U.C.L.A. L. Rev.</w:t>
      </w:r>
      <w:r w:rsidRPr="00332A3C">
        <w:t xml:space="preserve"> 964 (1978); </w:t>
      </w:r>
      <w:r w:rsidRPr="008B2D64">
        <w:rPr>
          <w:smallCaps/>
        </w:rPr>
        <w:t>Robert H. Bork</w:t>
      </w:r>
      <w:r w:rsidRPr="00332A3C">
        <w:t xml:space="preserve">, </w:t>
      </w:r>
      <w:r>
        <w:t>“</w:t>
      </w:r>
      <w:r w:rsidRPr="00332A3C">
        <w:t>Neutral Principles and Some First Amendment Problems</w:t>
      </w:r>
      <w:r>
        <w:t>”</w:t>
      </w:r>
      <w:r w:rsidRPr="00332A3C">
        <w:t xml:space="preserve">, 47 Ind. L.J. 1 (1971); </w:t>
      </w:r>
      <w:r w:rsidRPr="008B2D64">
        <w:rPr>
          <w:smallCaps/>
        </w:rPr>
        <w:t>Thomas I. Emerson</w:t>
      </w:r>
      <w:r w:rsidRPr="00332A3C">
        <w:t xml:space="preserve">, </w:t>
      </w:r>
      <w:r>
        <w:t>“</w:t>
      </w:r>
      <w:r w:rsidRPr="00332A3C">
        <w:t>Toward a General Theory of the First Amendment</w:t>
      </w:r>
      <w:r>
        <w:t>”</w:t>
      </w:r>
      <w:r w:rsidRPr="00332A3C">
        <w:t xml:space="preserve">, 72 Yale L.J. 877 (1963); </w:t>
      </w:r>
      <w:r w:rsidRPr="008B2D64">
        <w:rPr>
          <w:smallCaps/>
        </w:rPr>
        <w:t>Alexander Meiklejohn</w:t>
      </w:r>
      <w:r w:rsidRPr="00332A3C">
        <w:t>,</w:t>
      </w:r>
      <w:r w:rsidRPr="00332A3C">
        <w:rPr>
          <w:i/>
        </w:rPr>
        <w:t xml:space="preserve"> </w:t>
      </w:r>
      <w:r w:rsidRPr="00332A3C">
        <w:t>“The First Amendment as an Absolute</w:t>
      </w:r>
      <w:r>
        <w:t>”</w:t>
      </w:r>
      <w:r w:rsidRPr="00332A3C">
        <w:t xml:space="preserve">, 1961 </w:t>
      </w:r>
      <w:r w:rsidRPr="00332A3C">
        <w:rPr>
          <w:i/>
        </w:rPr>
        <w:t>S. Ct. Rev.</w:t>
      </w:r>
      <w:r w:rsidRPr="00332A3C">
        <w:t xml:space="preserve"> 245; </w:t>
      </w:r>
      <w:r w:rsidRPr="008B2D64">
        <w:rPr>
          <w:smallCaps/>
        </w:rPr>
        <w:t>Russell L. Weaver</w:t>
      </w:r>
      <w:r w:rsidRPr="00332A3C">
        <w:t xml:space="preserve">, </w:t>
      </w:r>
      <w:r w:rsidRPr="008848BF">
        <w:rPr>
          <w:i/>
        </w:rPr>
        <w:t>Understanding the First Amendment</w:t>
      </w:r>
      <w:r>
        <w:rPr>
          <w:i/>
        </w:rPr>
        <w:t>,</w:t>
      </w:r>
      <w:r w:rsidRPr="00332A3C">
        <w:t xml:space="preserve"> </w:t>
      </w:r>
      <w:r>
        <w:t xml:space="preserve">pp. </w:t>
      </w:r>
      <w:r w:rsidRPr="00332A3C">
        <w:t>10-13 (5</w:t>
      </w:r>
      <w:r w:rsidRPr="00332A3C">
        <w:rPr>
          <w:vertAlign w:val="superscript"/>
        </w:rPr>
        <w:t>ème</w:t>
      </w:r>
      <w:r w:rsidRPr="00332A3C">
        <w:t xml:space="preserve"> ed. 2014).</w:t>
      </w:r>
    </w:p>
  </w:footnote>
  <w:footnote w:id="8">
    <w:p w14:paraId="559B0EDF" w14:textId="77777777" w:rsidR="001946B9" w:rsidRPr="004F54D4" w:rsidRDefault="001946B9" w:rsidP="00CF5CC4">
      <w:pPr>
        <w:pStyle w:val="Notedebasdepage"/>
        <w:tabs>
          <w:tab w:val="left" w:pos="142"/>
        </w:tabs>
        <w:rPr>
          <w:i/>
          <w:iCs/>
        </w:rPr>
      </w:pPr>
      <w:r w:rsidRPr="00332A3C">
        <w:rPr>
          <w:rStyle w:val="Caractresdenotedebasdepage"/>
        </w:rPr>
        <w:footnoteRef/>
      </w:r>
      <w:r w:rsidRPr="00332A3C">
        <w:tab/>
        <w:t xml:space="preserve">Voir </w:t>
      </w:r>
      <w:r w:rsidRPr="00332A3C">
        <w:rPr>
          <w:i/>
          <w:iCs/>
        </w:rPr>
        <w:t>Id.</w:t>
      </w:r>
    </w:p>
  </w:footnote>
  <w:footnote w:id="9">
    <w:p w14:paraId="38965EBF" w14:textId="66607B4B" w:rsidR="001946B9" w:rsidRPr="00332A3C"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John M. Ackerman</w:t>
      </w:r>
      <w:r w:rsidRPr="00332A3C">
        <w:t xml:space="preserve"> &amp; </w:t>
      </w:r>
      <w:r w:rsidRPr="008B2D64">
        <w:rPr>
          <w:smallCaps/>
        </w:rPr>
        <w:t>Irma E. Sandoval-Ballesteros</w:t>
      </w:r>
      <w:r w:rsidRPr="00332A3C">
        <w:t>,</w:t>
      </w:r>
      <w:r w:rsidRPr="00332A3C">
        <w:rPr>
          <w:i/>
        </w:rPr>
        <w:t xml:space="preserve"> </w:t>
      </w:r>
      <w:r w:rsidRPr="00332A3C">
        <w:t>“The Global Explosion of Freedom of Information Laws</w:t>
      </w:r>
      <w:r>
        <w:t>”</w:t>
      </w:r>
      <w:r w:rsidRPr="00332A3C">
        <w:t xml:space="preserve">, 58 </w:t>
      </w:r>
      <w:r w:rsidRPr="00332A3C">
        <w:rPr>
          <w:i/>
        </w:rPr>
        <w:t>Admin. L. Rev.</w:t>
      </w:r>
      <w:r w:rsidRPr="00332A3C">
        <w:t xml:space="preserve"> 85, 89 (2006); </w:t>
      </w:r>
      <w:r w:rsidRPr="008B2D64">
        <w:rPr>
          <w:smallCaps/>
        </w:rPr>
        <w:t>Katherine McFate</w:t>
      </w:r>
      <w:r w:rsidRPr="00332A3C">
        <w:t>,</w:t>
      </w:r>
      <w:r w:rsidRPr="00332A3C">
        <w:rPr>
          <w:i/>
        </w:rPr>
        <w:t xml:space="preserve"> </w:t>
      </w:r>
      <w:r w:rsidRPr="00332A3C">
        <w:t>“Keynote Address: The Power of an Informed Public</w:t>
      </w:r>
      <w:r>
        <w:t>”</w:t>
      </w:r>
      <w:r w:rsidRPr="00332A3C">
        <w:t xml:space="preserve">, 38 </w:t>
      </w:r>
      <w:r w:rsidRPr="00332A3C">
        <w:rPr>
          <w:i/>
        </w:rPr>
        <w:t>Vt. L. Rev.</w:t>
      </w:r>
      <w:r w:rsidRPr="00332A3C">
        <w:t xml:space="preserve"> 809, 825.</w:t>
      </w:r>
    </w:p>
  </w:footnote>
  <w:footnote w:id="10">
    <w:p w14:paraId="7BBDA824" w14:textId="77777777" w:rsidR="001946B9" w:rsidRPr="00332A3C" w:rsidRDefault="001946B9" w:rsidP="00CF5CC4">
      <w:pPr>
        <w:pStyle w:val="Notedebasdepage"/>
        <w:tabs>
          <w:tab w:val="left" w:pos="142"/>
        </w:tabs>
      </w:pPr>
      <w:r w:rsidRPr="00332A3C">
        <w:rPr>
          <w:rStyle w:val="Caractresdenotedebasdepage"/>
          <w:rFonts w:ascii="Times New Roman" w:hAnsi="Times New Roman"/>
        </w:rPr>
        <w:footnoteRef/>
      </w:r>
      <w:r w:rsidRPr="00332A3C">
        <w:tab/>
        <w:t>Traduction personnelle, U.S. Constitution, Art. II, cl. 2, sec. 2.</w:t>
      </w:r>
    </w:p>
  </w:footnote>
  <w:footnote w:id="11">
    <w:p w14:paraId="35E8565A" w14:textId="1920B871" w:rsidR="001946B9" w:rsidRPr="00332A3C" w:rsidRDefault="001946B9" w:rsidP="00CF5CC4">
      <w:pPr>
        <w:pStyle w:val="Notedebasdepage"/>
        <w:tabs>
          <w:tab w:val="left" w:pos="142"/>
        </w:tabs>
      </w:pPr>
      <w:r w:rsidRPr="00332A3C">
        <w:rPr>
          <w:rStyle w:val="Caractresdenotedebasdepage"/>
          <w:rFonts w:ascii="Times New Roman" w:hAnsi="Times New Roman"/>
        </w:rPr>
        <w:footnoteRef/>
      </w:r>
      <w:r w:rsidRPr="00332A3C">
        <w:tab/>
        <w:t xml:space="preserve">Voir </w:t>
      </w:r>
      <w:r w:rsidRPr="008B2D64">
        <w:rPr>
          <w:smallCaps/>
        </w:rPr>
        <w:t>Richard S. Beth</w:t>
      </w:r>
      <w:r w:rsidRPr="00332A3C">
        <w:t xml:space="preserve"> &amp; </w:t>
      </w:r>
      <w:r w:rsidRPr="008B2D64">
        <w:rPr>
          <w:smallCaps/>
        </w:rPr>
        <w:t>Betsy Palmer</w:t>
      </w:r>
      <w:r w:rsidRPr="00332A3C">
        <w:t xml:space="preserve">, </w:t>
      </w:r>
      <w:r w:rsidRPr="008B2D64">
        <w:rPr>
          <w:i/>
        </w:rPr>
        <w:t>Supreme Court Nominations: Senate Floor Procedure and Practice</w:t>
      </w:r>
      <w:r w:rsidRPr="00332A3C">
        <w:t>, 1789-2011 10 (2011).</w:t>
      </w:r>
    </w:p>
  </w:footnote>
  <w:footnote w:id="12">
    <w:p w14:paraId="2D459C7A" w14:textId="0A7CD6E2" w:rsidR="001946B9" w:rsidRPr="004F54D4" w:rsidRDefault="001946B9" w:rsidP="00CF5CC4">
      <w:pPr>
        <w:pStyle w:val="Notedebasdepage"/>
        <w:tabs>
          <w:tab w:val="left" w:pos="142"/>
        </w:tabs>
      </w:pPr>
      <w:r w:rsidRPr="00332A3C">
        <w:rPr>
          <w:rStyle w:val="Caractresdenotedebasdepage"/>
          <w:rFonts w:ascii="Times New Roman" w:hAnsi="Times New Roman"/>
        </w:rPr>
        <w:footnoteRef/>
      </w:r>
      <w:r w:rsidRPr="00332A3C">
        <w:tab/>
        <w:t xml:space="preserve">Voir </w:t>
      </w:r>
      <w:r w:rsidRPr="008B2D64">
        <w:rPr>
          <w:smallCaps/>
        </w:rPr>
        <w:t>William E. Funk, Sidney Shapiro</w:t>
      </w:r>
      <w:r w:rsidRPr="00332A3C">
        <w:t xml:space="preserve"> &amp; </w:t>
      </w:r>
      <w:r w:rsidRPr="008B2D64">
        <w:rPr>
          <w:smallCaps/>
        </w:rPr>
        <w:t>Russell L. Weaver</w:t>
      </w:r>
      <w:r w:rsidRPr="00332A3C">
        <w:t xml:space="preserve">, </w:t>
      </w:r>
      <w:r w:rsidRPr="00332A3C">
        <w:rPr>
          <w:i/>
        </w:rPr>
        <w:t>Administrative Law</w:t>
      </w:r>
      <w:r>
        <w:rPr>
          <w:i/>
        </w:rPr>
        <w:t>,</w:t>
      </w:r>
      <w:r w:rsidRPr="00332A3C">
        <w:t xml:space="preserve"> </w:t>
      </w:r>
      <w:r>
        <w:t xml:space="preserve">p. </w:t>
      </w:r>
      <w:r w:rsidRPr="00332A3C">
        <w:t>740 (West, 5</w:t>
      </w:r>
      <w:r w:rsidRPr="00332A3C">
        <w:rPr>
          <w:vertAlign w:val="superscript"/>
        </w:rPr>
        <w:t>th</w:t>
      </w:r>
      <w:r w:rsidRPr="00332A3C">
        <w:t xml:space="preserve"> ed., 2014).</w:t>
      </w:r>
    </w:p>
  </w:footnote>
  <w:footnote w:id="13">
    <w:p w14:paraId="6290CFBB"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Beth &amp; Palmer</w:t>
      </w:r>
      <w:r w:rsidRPr="004F54D4">
        <w:t xml:space="preserve">, </w:t>
      </w:r>
      <w:r w:rsidRPr="004F54D4">
        <w:rPr>
          <w:i/>
        </w:rPr>
        <w:t>supra</w:t>
      </w:r>
      <w:r w:rsidRPr="004F54D4">
        <w:t xml:space="preserve"> note 11, page 10.</w:t>
      </w:r>
    </w:p>
  </w:footnote>
  <w:footnote w:id="14">
    <w:p w14:paraId="687E29D9"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pp.10-11.</w:t>
      </w:r>
    </w:p>
  </w:footnote>
  <w:footnote w:id="15">
    <w:p w14:paraId="4B185FC5"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16">
    <w:p w14:paraId="011EDEAA" w14:textId="7A02DA68"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Linda Greenhouse</w:t>
      </w:r>
      <w:r w:rsidRPr="004F54D4">
        <w:t xml:space="preserve">, </w:t>
      </w:r>
      <w:r>
        <w:t>“</w:t>
      </w:r>
      <w:r w:rsidRPr="00332A3C">
        <w:t>Washington Talk: The Bork Nomination; In No Time At All, Both Proponents and Opponents are Ready For Battle”</w:t>
      </w:r>
      <w:r w:rsidRPr="004F54D4">
        <w:rPr>
          <w:i/>
        </w:rPr>
        <w:t xml:space="preserve">, The New York Times </w:t>
      </w:r>
      <w:r w:rsidRPr="004F54D4">
        <w:t>A24 (9 juillet 1987).</w:t>
      </w:r>
    </w:p>
  </w:footnote>
  <w:footnote w:id="17">
    <w:p w14:paraId="1850C7EC" w14:textId="29D0BC10"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Philip Shenon</w:t>
      </w:r>
      <w:r w:rsidRPr="004F54D4">
        <w:t>,</w:t>
      </w:r>
      <w:r w:rsidRPr="004F54D4">
        <w:rPr>
          <w:i/>
        </w:rPr>
        <w:t xml:space="preserve"> </w:t>
      </w:r>
      <w:r w:rsidRPr="00332A3C">
        <w:t>“The Bork Hearings: Poll Finds Public Opposition to Bork is Growing</w:t>
      </w:r>
      <w:r>
        <w:t>”</w:t>
      </w:r>
      <w:r w:rsidRPr="004F54D4">
        <w:rPr>
          <w:i/>
        </w:rPr>
        <w:t xml:space="preserve">, The New York Times </w:t>
      </w:r>
      <w:r w:rsidRPr="004F54D4">
        <w:t>A20 (24 septembre 1987).</w:t>
      </w:r>
    </w:p>
  </w:footnote>
  <w:footnote w:id="18">
    <w:p w14:paraId="6E1269FF"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Greenhouse</w:t>
      </w:r>
      <w:r w:rsidRPr="004F54D4">
        <w:t xml:space="preserve">, </w:t>
      </w:r>
      <w:r w:rsidRPr="004F54D4">
        <w:rPr>
          <w:i/>
        </w:rPr>
        <w:t>supra</w:t>
      </w:r>
      <w:r w:rsidRPr="004F54D4">
        <w:t xml:space="preserve"> note 16.</w:t>
      </w:r>
    </w:p>
  </w:footnote>
  <w:footnote w:id="19">
    <w:p w14:paraId="537948FE"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20">
    <w:p w14:paraId="6EF22956" w14:textId="75D35D21"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Andrew Rosenthal</w:t>
      </w:r>
      <w:r w:rsidRPr="004F54D4">
        <w:t>,</w:t>
      </w:r>
      <w:r w:rsidRPr="004F54D4">
        <w:rPr>
          <w:i/>
        </w:rPr>
        <w:t xml:space="preserve"> </w:t>
      </w:r>
      <w:r w:rsidRPr="009E3D92">
        <w:t>“Bork Gives Abortion Rights Convention Something to Shout About</w:t>
      </w:r>
      <w:r>
        <w:t>”</w:t>
      </w:r>
      <w:r w:rsidRPr="004F54D4">
        <w:rPr>
          <w:i/>
        </w:rPr>
        <w:t xml:space="preserve">, The New York Times </w:t>
      </w:r>
      <w:r w:rsidRPr="004F54D4">
        <w:t>A12 (13 juillet 1987).</w:t>
      </w:r>
    </w:p>
  </w:footnote>
  <w:footnote w:id="21">
    <w:p w14:paraId="5B28CC1D" w14:textId="02B2C6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page 14; </w:t>
      </w:r>
      <w:r w:rsidRPr="009E3D92">
        <w:rPr>
          <w:iCs/>
        </w:rPr>
        <w:t>voir également</w:t>
      </w:r>
      <w:r w:rsidRPr="009E3D92">
        <w:t xml:space="preserve"> </w:t>
      </w:r>
      <w:r w:rsidRPr="008B2D64">
        <w:rPr>
          <w:smallCaps/>
        </w:rPr>
        <w:t>Neil A. Lewis</w:t>
      </w:r>
      <w:r w:rsidRPr="009E3D92">
        <w:t>, “Gay Rights Groups Join Opposition to Ashcroft for Justice Department”,</w:t>
      </w:r>
      <w:r w:rsidRPr="004F54D4">
        <w:rPr>
          <w:i/>
        </w:rPr>
        <w:t xml:space="preserve"> The New York Times </w:t>
      </w:r>
      <w:r w:rsidRPr="004F54D4">
        <w:t>A15 (9 janvier 2001).</w:t>
      </w:r>
    </w:p>
  </w:footnote>
  <w:footnote w:id="22">
    <w:p w14:paraId="472B68C0"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tab/>
        <w:t xml:space="preserve">5 U.S.C. § 551, </w:t>
      </w:r>
      <w:r w:rsidRPr="004F54D4">
        <w:rPr>
          <w:i/>
        </w:rPr>
        <w:t>et seq.</w:t>
      </w:r>
    </w:p>
  </w:footnote>
  <w:footnote w:id="23">
    <w:p w14:paraId="675E5D06"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Funk, Shapiro &amp; Weaver</w:t>
      </w:r>
      <w:r w:rsidRPr="004F54D4">
        <w:t>,</w:t>
      </w:r>
      <w:r w:rsidRPr="004F54D4">
        <w:rPr>
          <w:i/>
        </w:rPr>
        <w:t xml:space="preserve"> supra </w:t>
      </w:r>
      <w:r w:rsidRPr="004F54D4">
        <w:t>note 12, page 740.</w:t>
      </w:r>
    </w:p>
  </w:footnote>
  <w:footnote w:id="24">
    <w:p w14:paraId="2A238FC4"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553.</w:t>
      </w:r>
    </w:p>
  </w:footnote>
  <w:footnote w:id="25">
    <w:p w14:paraId="314F0ADA"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556-557.</w:t>
      </w:r>
    </w:p>
  </w:footnote>
  <w:footnote w:id="26">
    <w:p w14:paraId="40600CF6"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553(b).</w:t>
      </w:r>
    </w:p>
  </w:footnote>
  <w:footnote w:id="27">
    <w:p w14:paraId="3FDE02F2"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28">
    <w:p w14:paraId="4323E5FD"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29">
    <w:p w14:paraId="533B0036"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 xml:space="preserve">Id. </w:t>
      </w:r>
      <w:r w:rsidRPr="004F54D4">
        <w:t>§ 553(c).</w:t>
      </w:r>
    </w:p>
  </w:footnote>
  <w:footnote w:id="30">
    <w:p w14:paraId="198407A3"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31">
    <w:p w14:paraId="7925C0E4"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 553.</w:t>
      </w:r>
    </w:p>
  </w:footnote>
  <w:footnote w:id="32">
    <w:p w14:paraId="3865F260" w14:textId="2C5D0271"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553 (a)(1) &amp;</w:t>
      </w:r>
      <w:r>
        <w:t xml:space="preserve"> </w:t>
      </w:r>
      <w:r w:rsidRPr="004F54D4">
        <w:t>(2), et (b)(3)(A) &amp; (B).</w:t>
      </w:r>
    </w:p>
  </w:footnote>
  <w:footnote w:id="33">
    <w:p w14:paraId="3A1016FB" w14:textId="309D265D"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Steven P. Croley</w:t>
      </w:r>
      <w:r w:rsidRPr="004F54D4">
        <w:t>,</w:t>
      </w:r>
      <w:r w:rsidRPr="004F54D4">
        <w:rPr>
          <w:i/>
        </w:rPr>
        <w:t xml:space="preserve"> </w:t>
      </w:r>
      <w:r w:rsidRPr="009E3D92">
        <w:t>“Public Interested Regulation”</w:t>
      </w:r>
      <w:r w:rsidRPr="004F54D4">
        <w:t xml:space="preserve">, 28 </w:t>
      </w:r>
      <w:r w:rsidRPr="009E3D92">
        <w:rPr>
          <w:i/>
        </w:rPr>
        <w:t>Fla. St. L. Rev.</w:t>
      </w:r>
      <w:r w:rsidRPr="004F54D4">
        <w:rPr>
          <w:smallCaps/>
        </w:rPr>
        <w:t xml:space="preserve"> </w:t>
      </w:r>
      <w:r w:rsidRPr="004F54D4">
        <w:t>7, 96 (2000).</w:t>
      </w:r>
    </w:p>
  </w:footnote>
  <w:footnote w:id="34">
    <w:p w14:paraId="164E6750"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553(d).</w:t>
      </w:r>
    </w:p>
  </w:footnote>
  <w:footnote w:id="35">
    <w:p w14:paraId="58DE3084" w14:textId="77777777" w:rsidR="001946B9" w:rsidRPr="009E3D92" w:rsidRDefault="001946B9" w:rsidP="00CF5CC4">
      <w:pPr>
        <w:pStyle w:val="Notedebasdepage"/>
        <w:tabs>
          <w:tab w:val="left" w:pos="142"/>
        </w:tabs>
      </w:pPr>
      <w:r w:rsidRPr="009E3D92">
        <w:rPr>
          <w:rStyle w:val="Caractresdenotedebasdepage"/>
          <w:rFonts w:ascii="Times New Roman" w:hAnsi="Times New Roman"/>
        </w:rPr>
        <w:footnoteRef/>
      </w:r>
      <w:r w:rsidRPr="009E3D92">
        <w:tab/>
        <w:t xml:space="preserve">Voir </w:t>
      </w:r>
      <w:r w:rsidRPr="008B2D64">
        <w:rPr>
          <w:smallCaps/>
        </w:rPr>
        <w:t>Funk, Shapiro &amp; Weaver</w:t>
      </w:r>
      <w:r w:rsidRPr="009E3D92">
        <w:t>,</w:t>
      </w:r>
      <w:r w:rsidRPr="009E3D92">
        <w:rPr>
          <w:i/>
        </w:rPr>
        <w:t xml:space="preserve"> supra</w:t>
      </w:r>
      <w:r w:rsidRPr="009E3D92">
        <w:t xml:space="preserve"> note 12, page 740.</w:t>
      </w:r>
    </w:p>
  </w:footnote>
  <w:footnote w:id="36">
    <w:p w14:paraId="5EF82A98" w14:textId="0590567D" w:rsidR="001946B9" w:rsidRPr="004F54D4" w:rsidRDefault="001946B9" w:rsidP="00CF5CC4">
      <w:pPr>
        <w:pStyle w:val="Notedebasdepage"/>
        <w:tabs>
          <w:tab w:val="left" w:pos="142"/>
        </w:tabs>
      </w:pPr>
      <w:r w:rsidRPr="009E3D92">
        <w:rPr>
          <w:rStyle w:val="Caractresdenotedebasdepage"/>
          <w:rFonts w:ascii="Times New Roman" w:hAnsi="Times New Roman"/>
        </w:rPr>
        <w:footnoteRef/>
      </w:r>
      <w:r w:rsidRPr="009E3D92">
        <w:tab/>
        <w:t xml:space="preserve">Voir </w:t>
      </w:r>
      <w:r w:rsidRPr="008B2D64">
        <w:rPr>
          <w:smallCaps/>
        </w:rPr>
        <w:t>James T. O’Reilly</w:t>
      </w:r>
      <w:r w:rsidRPr="009E3D92">
        <w:t xml:space="preserve">, </w:t>
      </w:r>
      <w:r w:rsidRPr="009E3D92">
        <w:rPr>
          <w:i/>
        </w:rPr>
        <w:t>Federal Information Disclosure</w:t>
      </w:r>
      <w:r w:rsidRPr="009E3D92">
        <w:t>, § 6.05 pp.6-19 (2</w:t>
      </w:r>
      <w:r w:rsidRPr="009E3D92">
        <w:rPr>
          <w:vertAlign w:val="superscript"/>
        </w:rPr>
        <w:t>nd</w:t>
      </w:r>
      <w:r w:rsidRPr="009E3D92">
        <w:t xml:space="preserve"> ed. 1995).</w:t>
      </w:r>
    </w:p>
  </w:footnote>
  <w:footnote w:id="37">
    <w:p w14:paraId="7186DF9C"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552 (1982).</w:t>
      </w:r>
    </w:p>
  </w:footnote>
  <w:footnote w:id="38">
    <w:p w14:paraId="5E3D4E12"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552(a)(3).</w:t>
      </w:r>
    </w:p>
  </w:footnote>
  <w:footnote w:id="39">
    <w:p w14:paraId="70E8DFAE"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40">
    <w:p w14:paraId="30D9F991"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 552(a)(6)(A)(I).</w:t>
      </w:r>
    </w:p>
  </w:footnote>
  <w:footnote w:id="41">
    <w:p w14:paraId="3548041F"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 552(a)(6)(A)(1) &amp; (2).</w:t>
      </w:r>
    </w:p>
  </w:footnote>
  <w:footnote w:id="42">
    <w:p w14:paraId="26D2E7F0"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w:t>
      </w:r>
    </w:p>
  </w:footnote>
  <w:footnote w:id="43">
    <w:p w14:paraId="0418B164"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 552(b).</w:t>
      </w:r>
    </w:p>
  </w:footnote>
  <w:footnote w:id="44">
    <w:p w14:paraId="4259FC94"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5 U.S.C. app. §§1-15 (2000) (promulguée en 1972).</w:t>
      </w:r>
    </w:p>
  </w:footnote>
  <w:footnote w:id="45">
    <w:p w14:paraId="113B9CE6"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5 U.S.C. s 552b(b), (h) (1994).</w:t>
      </w:r>
    </w:p>
  </w:footnote>
  <w:footnote w:id="46">
    <w:p w14:paraId="36FEE2F2" w14:textId="77777777" w:rsidR="001946B9" w:rsidRPr="009E3D92" w:rsidRDefault="001946B9" w:rsidP="00CF5CC4">
      <w:pPr>
        <w:pStyle w:val="Notedebasdepage"/>
        <w:tabs>
          <w:tab w:val="left" w:pos="142"/>
        </w:tabs>
      </w:pPr>
      <w:r w:rsidRPr="009E3D92">
        <w:rPr>
          <w:rStyle w:val="Caractresdenotedebasdepage"/>
          <w:rFonts w:ascii="Times New Roman" w:hAnsi="Times New Roman"/>
        </w:rPr>
        <w:footnoteRef/>
      </w:r>
      <w:r w:rsidRPr="009E3D92">
        <w:tab/>
        <w:t xml:space="preserve">Voir </w:t>
      </w:r>
      <w:r w:rsidRPr="008B2D64">
        <w:rPr>
          <w:smallCaps/>
        </w:rPr>
        <w:t>Funk, Shapiro &amp; Weaver</w:t>
      </w:r>
      <w:r w:rsidRPr="009E3D92">
        <w:t xml:space="preserve">, </w:t>
      </w:r>
      <w:r w:rsidRPr="009E3D92">
        <w:rPr>
          <w:i/>
        </w:rPr>
        <w:t>supra</w:t>
      </w:r>
      <w:r w:rsidRPr="009E3D92">
        <w:t xml:space="preserve"> note 12, pp.667-668.</w:t>
      </w:r>
    </w:p>
  </w:footnote>
  <w:footnote w:id="47">
    <w:p w14:paraId="6B552B03" w14:textId="6F3FDC8B" w:rsidR="001946B9" w:rsidRPr="009E3D92" w:rsidRDefault="001946B9" w:rsidP="00CF5CC4">
      <w:pPr>
        <w:pStyle w:val="Notedebasdepage"/>
        <w:tabs>
          <w:tab w:val="left" w:pos="142"/>
        </w:tabs>
        <w:rPr>
          <w:lang w:val="fr-FR"/>
        </w:rPr>
      </w:pPr>
      <w:r w:rsidRPr="009E3D92">
        <w:rPr>
          <w:rStyle w:val="Caractresdenotedebasdepage"/>
          <w:rFonts w:ascii="Times New Roman" w:hAnsi="Times New Roman"/>
        </w:rPr>
        <w:footnoteRef/>
      </w:r>
      <w:r w:rsidRPr="009E3D92">
        <w:tab/>
        <w:t xml:space="preserve">Kentucky Open Records Act, KRS 61.878(1)(h). </w:t>
      </w:r>
      <w:r w:rsidRPr="009E3D92">
        <w:rPr>
          <w:lang w:val="fr-FR"/>
        </w:rPr>
        <w:t>[Loi de l’État du Kentucky].</w:t>
      </w:r>
    </w:p>
  </w:footnote>
  <w:footnote w:id="48">
    <w:p w14:paraId="3D600EC5" w14:textId="77777777" w:rsidR="001946B9" w:rsidRPr="009E3D92" w:rsidRDefault="001946B9" w:rsidP="00CF5CC4">
      <w:pPr>
        <w:pStyle w:val="Notedebasdepage"/>
        <w:tabs>
          <w:tab w:val="left" w:pos="142"/>
        </w:tabs>
      </w:pPr>
      <w:r w:rsidRPr="009E3D92">
        <w:rPr>
          <w:rStyle w:val="Caractresdenotedebasdepage"/>
          <w:rFonts w:ascii="Times New Roman" w:hAnsi="Times New Roman"/>
        </w:rPr>
        <w:footnoteRef/>
      </w:r>
      <w:r w:rsidRPr="009E3D92">
        <w:tab/>
        <w:t xml:space="preserve">Voir </w:t>
      </w:r>
      <w:r w:rsidRPr="008B2D64">
        <w:rPr>
          <w:smallCaps/>
        </w:rPr>
        <w:t>Funk, Shapiro &amp; Weaver</w:t>
      </w:r>
      <w:r w:rsidRPr="009E3D92">
        <w:t>,</w:t>
      </w:r>
      <w:r w:rsidRPr="009E3D92">
        <w:rPr>
          <w:i/>
        </w:rPr>
        <w:t xml:space="preserve"> supra</w:t>
      </w:r>
      <w:r w:rsidRPr="009E3D92">
        <w:t xml:space="preserve"> note 12, page 742.</w:t>
      </w:r>
    </w:p>
  </w:footnote>
  <w:footnote w:id="49">
    <w:p w14:paraId="29237EFF" w14:textId="77777777" w:rsidR="001946B9" w:rsidRPr="009E3D92" w:rsidRDefault="001946B9" w:rsidP="00CF5CC4">
      <w:pPr>
        <w:pStyle w:val="Notedebasdepage"/>
        <w:tabs>
          <w:tab w:val="left" w:pos="142"/>
        </w:tabs>
      </w:pPr>
      <w:r w:rsidRPr="009E3D92">
        <w:rPr>
          <w:rStyle w:val="Caractresdenotedebasdepage"/>
          <w:rFonts w:ascii="Times New Roman" w:hAnsi="Times New Roman"/>
        </w:rPr>
        <w:footnoteRef/>
      </w:r>
      <w:r w:rsidRPr="009E3D92">
        <w:tab/>
        <w:t xml:space="preserve">Voir General Accounting Office, </w:t>
      </w:r>
      <w:r w:rsidRPr="009E3D92">
        <w:rPr>
          <w:i/>
        </w:rPr>
        <w:t>Freedom of Information Act: Noncompliance with Affirmative Disclosure Provisions</w:t>
      </w:r>
      <w:r w:rsidRPr="009E3D92">
        <w:t xml:space="preserve"> (1986).</w:t>
      </w:r>
    </w:p>
  </w:footnote>
  <w:footnote w:id="50">
    <w:p w14:paraId="51CBD7E6" w14:textId="77777777" w:rsidR="001946B9" w:rsidRPr="004F54D4" w:rsidRDefault="001946B9" w:rsidP="00CF5CC4">
      <w:pPr>
        <w:pStyle w:val="Notedebasdepage"/>
        <w:tabs>
          <w:tab w:val="left" w:pos="142"/>
        </w:tabs>
      </w:pPr>
      <w:r w:rsidRPr="009E3D92">
        <w:rPr>
          <w:rStyle w:val="Caractresdenotedebasdepage"/>
          <w:rFonts w:ascii="Times New Roman" w:hAnsi="Times New Roman"/>
        </w:rPr>
        <w:footnoteRef/>
      </w:r>
      <w:r w:rsidRPr="009E3D92">
        <w:tab/>
        <w:t xml:space="preserve">Voir </w:t>
      </w:r>
      <w:r w:rsidRPr="008B2D64">
        <w:rPr>
          <w:smallCaps/>
        </w:rPr>
        <w:t>Funk, Shapiro &amp; Weaver</w:t>
      </w:r>
      <w:r w:rsidRPr="009E3D92">
        <w:t xml:space="preserve">, </w:t>
      </w:r>
      <w:r w:rsidRPr="009E3D92">
        <w:rPr>
          <w:i/>
        </w:rPr>
        <w:t>supra</w:t>
      </w:r>
      <w:r w:rsidRPr="009E3D92">
        <w:t xml:space="preserve"> note 12, p.742.</w:t>
      </w:r>
    </w:p>
  </w:footnote>
  <w:footnote w:id="51">
    <w:p w14:paraId="1426758A"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52">
    <w:p w14:paraId="2277E096" w14:textId="23B3DC88"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Michael E. Tankersley</w:t>
      </w:r>
      <w:r w:rsidRPr="004F54D4">
        <w:t xml:space="preserve">, </w:t>
      </w:r>
      <w:r>
        <w:t>“</w:t>
      </w:r>
      <w:r w:rsidRPr="009E3D92">
        <w:t>How the Electronic Freedom of Information Act Amendments of 1966 Update Public Access for the Information Age</w:t>
      </w:r>
      <w:r>
        <w:t>”</w:t>
      </w:r>
      <w:r w:rsidRPr="004F54D4">
        <w:t xml:space="preserve">, 50 </w:t>
      </w:r>
      <w:r w:rsidRPr="009E3D92">
        <w:rPr>
          <w:i/>
        </w:rPr>
        <w:t>Ad. L. Rev.</w:t>
      </w:r>
      <w:r w:rsidRPr="004F54D4">
        <w:rPr>
          <w:smallCaps/>
        </w:rPr>
        <w:t xml:space="preserve"> </w:t>
      </w:r>
      <w:r w:rsidRPr="004F54D4">
        <w:t>421, 423 (1998).</w:t>
      </w:r>
    </w:p>
  </w:footnote>
  <w:footnote w:id="53">
    <w:p w14:paraId="6BEFAFD5"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4F54D4">
        <w:rPr>
          <w:i/>
        </w:rPr>
        <w:t>id.</w:t>
      </w:r>
      <w:r w:rsidRPr="004F54D4">
        <w:t xml:space="preserve"> page 424.</w:t>
      </w:r>
    </w:p>
  </w:footnote>
  <w:footnote w:id="54">
    <w:p w14:paraId="65397A4F" w14:textId="0F038EB2"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6B0B97">
        <w:tab/>
        <w:t xml:space="preserve">Department of the Interior, </w:t>
      </w:r>
      <w:r w:rsidRPr="009E3D92">
        <w:rPr>
          <w:i/>
        </w:rPr>
        <w:t>Report of the Nat’l Performance Rev. Freedom of Information Act Reinvention Team</w:t>
      </w:r>
      <w:r w:rsidRPr="006B0B97">
        <w:t>, Gateway to Government Information, p.</w:t>
      </w:r>
      <w:r>
        <w:t xml:space="preserve"> </w:t>
      </w:r>
      <w:r w:rsidRPr="006B0B97">
        <w:t>11 (1995).</w:t>
      </w:r>
    </w:p>
  </w:footnote>
  <w:footnote w:id="55">
    <w:p w14:paraId="69161352" w14:textId="3E98900D"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Pub. L. No. 104-231, 110 S</w:t>
      </w:r>
      <w:r>
        <w:t xml:space="preserve">tat. 3048 (1996) (codifié sous </w:t>
      </w:r>
      <w:r w:rsidRPr="004F54D4">
        <w:t>5 U.S.C. § 552 (Supp. II 1996)).</w:t>
      </w:r>
    </w:p>
  </w:footnote>
  <w:footnote w:id="56">
    <w:p w14:paraId="0EF01CD7"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Tankersley</w:t>
      </w:r>
      <w:r w:rsidRPr="004F54D4">
        <w:t xml:space="preserve">, </w:t>
      </w:r>
      <w:r w:rsidRPr="004F54D4">
        <w:rPr>
          <w:i/>
        </w:rPr>
        <w:t>supra</w:t>
      </w:r>
      <w:r w:rsidRPr="004F54D4">
        <w:t xml:space="preserve"> note 52, p.450.</w:t>
      </w:r>
    </w:p>
  </w:footnote>
  <w:footnote w:id="57">
    <w:p w14:paraId="2C8F14BC" w14:textId="66B4BCEC"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Mark Lavigne</w:t>
      </w:r>
      <w:r w:rsidRPr="004F54D4">
        <w:t xml:space="preserve">, </w:t>
      </w:r>
      <w:r>
        <w:t>“</w:t>
      </w:r>
      <w:r w:rsidRPr="006B0B97">
        <w:t>Electronic Government: A Vision of a Future That is Already Here</w:t>
      </w:r>
      <w:r>
        <w:t>”</w:t>
      </w:r>
      <w:r w:rsidRPr="004F54D4">
        <w:t xml:space="preserve">, 52 </w:t>
      </w:r>
      <w:r w:rsidRPr="006B0B97">
        <w:rPr>
          <w:i/>
        </w:rPr>
        <w:t>Syracuse L. Rev.</w:t>
      </w:r>
      <w:r w:rsidRPr="004F54D4">
        <w:rPr>
          <w:smallCaps/>
        </w:rPr>
        <w:t xml:space="preserve"> </w:t>
      </w:r>
      <w:r w:rsidRPr="004F54D4">
        <w:t>1243, 1245 (2002).</w:t>
      </w:r>
    </w:p>
  </w:footnote>
  <w:footnote w:id="58">
    <w:p w14:paraId="081B45B8"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59">
    <w:p w14:paraId="194E5A05"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page 1246.</w:t>
      </w:r>
    </w:p>
  </w:footnote>
  <w:footnote w:id="60">
    <w:p w14:paraId="6DE031CD" w14:textId="0165C26C"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Mark Lavigne</w:t>
      </w:r>
      <w:r w:rsidRPr="004F54D4">
        <w:t xml:space="preserve">, </w:t>
      </w:r>
      <w:r>
        <w:t>“</w:t>
      </w:r>
      <w:r w:rsidRPr="006B0B97">
        <w:t>Electronic Government: A Vision of a Future That is Already Here”</w:t>
      </w:r>
      <w:r w:rsidRPr="004F54D4">
        <w:t xml:space="preserve">, 52 </w:t>
      </w:r>
      <w:r w:rsidRPr="006B0B97">
        <w:rPr>
          <w:i/>
        </w:rPr>
        <w:t>Syracuse L. Rev.</w:t>
      </w:r>
      <w:r w:rsidRPr="004F54D4">
        <w:rPr>
          <w:smallCaps/>
        </w:rPr>
        <w:t xml:space="preserve"> </w:t>
      </w:r>
      <w:r w:rsidRPr="004F54D4">
        <w:t>1243, 1244 (2002).</w:t>
      </w:r>
    </w:p>
  </w:footnote>
  <w:footnote w:id="61">
    <w:p w14:paraId="4CE38A52" w14:textId="7EB6D822"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Jillian Raines</w:t>
      </w:r>
      <w:r w:rsidRPr="004F54D4">
        <w:t xml:space="preserve">, </w:t>
      </w:r>
      <w:r>
        <w:t>“</w:t>
      </w:r>
      <w:r w:rsidRPr="006B0B97">
        <w:t>The Digital Accountability and Transparency Act of 2011 (Data): Using Open Data Principles to Revamp Spending Transparency Legislation</w:t>
      </w:r>
      <w:r>
        <w:t>”</w:t>
      </w:r>
      <w:r w:rsidRPr="004F54D4">
        <w:t>, 57</w:t>
      </w:r>
      <w:r w:rsidRPr="004F54D4">
        <w:rPr>
          <w:smallCaps/>
        </w:rPr>
        <w:t xml:space="preserve"> </w:t>
      </w:r>
      <w:r w:rsidRPr="006B0B97">
        <w:rPr>
          <w:i/>
        </w:rPr>
        <w:t>N.Y.L. Sch. L. Rev.</w:t>
      </w:r>
      <w:r w:rsidRPr="004F54D4">
        <w:rPr>
          <w:smallCaps/>
        </w:rPr>
        <w:t xml:space="preserve"> </w:t>
      </w:r>
      <w:r w:rsidRPr="004F54D4">
        <w:t>313, 322 (2012-2013).</w:t>
      </w:r>
    </w:p>
  </w:footnote>
  <w:footnote w:id="62">
    <w:p w14:paraId="503E4793" w14:textId="77777777" w:rsidR="001946B9" w:rsidRPr="00C91AD1" w:rsidRDefault="001946B9" w:rsidP="00CF5CC4">
      <w:pPr>
        <w:pStyle w:val="Notedebasdepage"/>
        <w:tabs>
          <w:tab w:val="left" w:pos="142"/>
        </w:tabs>
        <w:rPr>
          <w:i/>
          <w:lang w:val="fr-FR"/>
        </w:rPr>
      </w:pPr>
      <w:r w:rsidRPr="004F54D4">
        <w:rPr>
          <w:rStyle w:val="Caractresdenotedebasdepage"/>
          <w:rFonts w:ascii="Times New Roman" w:hAnsi="Times New Roman"/>
        </w:rPr>
        <w:footnoteRef/>
      </w:r>
      <w:r w:rsidRPr="00C91AD1">
        <w:rPr>
          <w:i/>
          <w:lang w:val="fr-FR"/>
        </w:rPr>
        <w:tab/>
        <w:t>Id.</w:t>
      </w:r>
    </w:p>
  </w:footnote>
  <w:footnote w:id="63">
    <w:p w14:paraId="004CBFCD"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r>
      <w:r w:rsidRPr="008B2D64">
        <w:rPr>
          <w:smallCaps/>
          <w:lang w:val="fr-FR"/>
        </w:rPr>
        <w:t>Lavigne</w:t>
      </w:r>
      <w:r w:rsidRPr="00C91AD1">
        <w:rPr>
          <w:lang w:val="fr-FR"/>
        </w:rPr>
        <w:t xml:space="preserve">, </w:t>
      </w:r>
      <w:r w:rsidRPr="00C91AD1">
        <w:rPr>
          <w:i/>
          <w:lang w:val="fr-FR"/>
        </w:rPr>
        <w:t>supra</w:t>
      </w:r>
      <w:r w:rsidRPr="00C91AD1">
        <w:rPr>
          <w:lang w:val="fr-FR"/>
        </w:rPr>
        <w:t xml:space="preserve"> note 60, p.1247.</w:t>
      </w:r>
    </w:p>
  </w:footnote>
  <w:footnote w:id="64">
    <w:p w14:paraId="1B66D672"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hyperlink r:id="rId1" w:history="1">
        <w:r w:rsidRPr="00C91AD1">
          <w:rPr>
            <w:rStyle w:val="Lienhypertexte"/>
            <w:color w:val="auto"/>
            <w:u w:val="none"/>
            <w:lang w:val="fr-FR"/>
          </w:rPr>
          <w:tab/>
          <w:t>http://www.pacer.gov</w:t>
        </w:r>
      </w:hyperlink>
      <w:r w:rsidRPr="00C91AD1">
        <w:rPr>
          <w:lang w:val="fr-FR"/>
        </w:rPr>
        <w:t xml:space="preserve"> </w:t>
      </w:r>
    </w:p>
  </w:footnote>
  <w:footnote w:id="65">
    <w:p w14:paraId="533D8504"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https://www.congress.gov</w:t>
      </w:r>
    </w:p>
  </w:footnote>
  <w:footnote w:id="66">
    <w:p w14:paraId="7A24DC1E"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 xml:space="preserve">Voir </w:t>
      </w:r>
      <w:r w:rsidRPr="008B2D64">
        <w:rPr>
          <w:smallCaps/>
          <w:lang w:val="fr-FR"/>
        </w:rPr>
        <w:t>Raines</w:t>
      </w:r>
      <w:r w:rsidRPr="00C91AD1">
        <w:rPr>
          <w:lang w:val="fr-FR"/>
        </w:rPr>
        <w:t xml:space="preserve">, </w:t>
      </w:r>
      <w:r w:rsidRPr="00C91AD1">
        <w:rPr>
          <w:i/>
          <w:lang w:val="fr-FR"/>
        </w:rPr>
        <w:t xml:space="preserve">supra </w:t>
      </w:r>
      <w:r w:rsidRPr="00C91AD1">
        <w:rPr>
          <w:lang w:val="fr-FR"/>
        </w:rPr>
        <w:t>note 61, p.322.</w:t>
      </w:r>
    </w:p>
  </w:footnote>
  <w:footnote w:id="67">
    <w:p w14:paraId="731D59CA" w14:textId="77777777" w:rsidR="001946B9" w:rsidRPr="00C91AD1" w:rsidRDefault="001946B9" w:rsidP="00CF5CC4">
      <w:pPr>
        <w:pStyle w:val="Notedebasdepage"/>
        <w:tabs>
          <w:tab w:val="left" w:pos="142"/>
        </w:tabs>
        <w:rPr>
          <w:i/>
          <w:lang w:val="fr-FR"/>
        </w:rPr>
      </w:pPr>
      <w:r w:rsidRPr="004F54D4">
        <w:rPr>
          <w:rStyle w:val="Caractresdenotedebasdepage"/>
          <w:rFonts w:ascii="Times New Roman" w:hAnsi="Times New Roman"/>
        </w:rPr>
        <w:footnoteRef/>
      </w:r>
      <w:r w:rsidRPr="00C91AD1">
        <w:rPr>
          <w:i/>
          <w:lang w:val="fr-FR"/>
        </w:rPr>
        <w:tab/>
        <w:t>Id.</w:t>
      </w:r>
    </w:p>
  </w:footnote>
  <w:footnote w:id="68">
    <w:p w14:paraId="480A93FE"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https://www.usaspending.gov</w:t>
      </w:r>
    </w:p>
  </w:footnote>
  <w:footnote w:id="69">
    <w:p w14:paraId="58DC499E"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https://www.recovery.gov</w:t>
      </w:r>
    </w:p>
  </w:footnote>
  <w:footnote w:id="70">
    <w:p w14:paraId="16012424"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 xml:space="preserve">Voir </w:t>
      </w:r>
      <w:r w:rsidRPr="008B2D64">
        <w:rPr>
          <w:smallCaps/>
          <w:lang w:val="fr-FR"/>
        </w:rPr>
        <w:t>Raines</w:t>
      </w:r>
      <w:r w:rsidRPr="00C91AD1">
        <w:rPr>
          <w:lang w:val="fr-FR"/>
        </w:rPr>
        <w:t xml:space="preserve">, </w:t>
      </w:r>
      <w:r w:rsidRPr="00C91AD1">
        <w:rPr>
          <w:i/>
          <w:lang w:val="fr-FR"/>
        </w:rPr>
        <w:t xml:space="preserve">supra </w:t>
      </w:r>
      <w:r w:rsidRPr="00C91AD1">
        <w:rPr>
          <w:lang w:val="fr-FR"/>
        </w:rPr>
        <w:t>note 61, page 322.</w:t>
      </w:r>
    </w:p>
  </w:footnote>
  <w:footnote w:id="71">
    <w:p w14:paraId="44D44894"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hyperlink r:id="rId2" w:history="1">
        <w:r w:rsidRPr="00C91AD1">
          <w:rPr>
            <w:rStyle w:val="Lienhypertexte"/>
            <w:color w:val="auto"/>
            <w:u w:val="none"/>
            <w:lang w:val="fr-FR"/>
          </w:rPr>
          <w:tab/>
          <w:t>http://www.grants.gov/</w:t>
        </w:r>
      </w:hyperlink>
    </w:p>
  </w:footnote>
  <w:footnote w:id="72">
    <w:p w14:paraId="1EF124E4"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 xml:space="preserve">Voir </w:t>
      </w:r>
      <w:r w:rsidRPr="008B2D64">
        <w:rPr>
          <w:smallCaps/>
          <w:lang w:val="fr-FR"/>
        </w:rPr>
        <w:t>Raines</w:t>
      </w:r>
      <w:r w:rsidRPr="00C91AD1">
        <w:rPr>
          <w:lang w:val="fr-FR"/>
        </w:rPr>
        <w:t xml:space="preserve">, </w:t>
      </w:r>
      <w:r w:rsidRPr="00C91AD1">
        <w:rPr>
          <w:i/>
          <w:lang w:val="fr-FR"/>
        </w:rPr>
        <w:t xml:space="preserve">supra </w:t>
      </w:r>
      <w:r w:rsidRPr="00C91AD1">
        <w:rPr>
          <w:lang w:val="fr-FR"/>
        </w:rPr>
        <w:t>note 61, p.327.</w:t>
      </w:r>
    </w:p>
  </w:footnote>
  <w:footnote w:id="73">
    <w:p w14:paraId="2421117A"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page 328.</w:t>
      </w:r>
    </w:p>
  </w:footnote>
  <w:footnote w:id="74">
    <w:p w14:paraId="23A83636"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Pub. L. No. 111-5, 123 Stat. 115 (2009).</w:t>
      </w:r>
    </w:p>
  </w:footnote>
  <w:footnote w:id="75">
    <w:p w14:paraId="073474A3"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 xml:space="preserve">Voir </w:t>
      </w:r>
      <w:r w:rsidRPr="008B2D64">
        <w:rPr>
          <w:smallCaps/>
          <w:lang w:val="fr-FR"/>
        </w:rPr>
        <w:t>Raines</w:t>
      </w:r>
      <w:r w:rsidRPr="00C91AD1">
        <w:rPr>
          <w:lang w:val="fr-FR"/>
        </w:rPr>
        <w:t xml:space="preserve">, </w:t>
      </w:r>
      <w:r w:rsidRPr="00C91AD1">
        <w:rPr>
          <w:i/>
          <w:lang w:val="fr-FR"/>
        </w:rPr>
        <w:t>supra</w:t>
      </w:r>
      <w:r w:rsidRPr="00C91AD1">
        <w:rPr>
          <w:lang w:val="fr-FR"/>
        </w:rPr>
        <w:t xml:space="preserve"> note 61, p.333.</w:t>
      </w:r>
    </w:p>
  </w:footnote>
  <w:footnote w:id="76">
    <w:p w14:paraId="026B3B7A"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77">
    <w:p w14:paraId="66D57BE1" w14:textId="397ABE4B" w:rsidR="001946B9" w:rsidRPr="006B0B97"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 </w:t>
      </w:r>
      <w:r w:rsidRPr="008B2D64">
        <w:rPr>
          <w:smallCaps/>
        </w:rPr>
        <w:t>Keith Harley &amp; Holly D. Gordon</w:t>
      </w:r>
      <w:r w:rsidRPr="004F54D4">
        <w:t>,</w:t>
      </w:r>
      <w:r w:rsidRPr="004F54D4">
        <w:rPr>
          <w:i/>
        </w:rPr>
        <w:t xml:space="preserve"> </w:t>
      </w:r>
      <w:r w:rsidRPr="006B0B97">
        <w:t>“Public Participation and Environmental Advocacy in the Internet Era</w:t>
      </w:r>
      <w:r>
        <w:t>”</w:t>
      </w:r>
      <w:r w:rsidRPr="004F54D4">
        <w:t xml:space="preserve">, 16 </w:t>
      </w:r>
      <w:r w:rsidRPr="006B0B97">
        <w:rPr>
          <w:i/>
        </w:rPr>
        <w:t>Nat. Resources &amp; Environment</w:t>
      </w:r>
      <w:r w:rsidRPr="006B0B97">
        <w:rPr>
          <w:smallCaps/>
        </w:rPr>
        <w:t xml:space="preserve"> </w:t>
      </w:r>
      <w:r w:rsidRPr="006B0B97">
        <w:t>296 (2001).</w:t>
      </w:r>
    </w:p>
  </w:footnote>
  <w:footnote w:id="78">
    <w:p w14:paraId="26FE484D" w14:textId="4EC9D2B3"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i/>
          <w:lang w:val="fr-FR"/>
        </w:rPr>
        <w:tab/>
        <w:t xml:space="preserve">Id. </w:t>
      </w:r>
      <w:r w:rsidRPr="006B0B97">
        <w:rPr>
          <w:iCs/>
          <w:lang w:val="fr-FR"/>
        </w:rPr>
        <w:t>(</w:t>
      </w:r>
      <w:r w:rsidRPr="00C91AD1">
        <w:rPr>
          <w:lang w:val="fr-FR"/>
        </w:rPr>
        <w:t>le personnel était constitué de scientifiques, d’experts et de juristes.)</w:t>
      </w:r>
    </w:p>
  </w:footnote>
  <w:footnote w:id="79">
    <w:p w14:paraId="04286920" w14:textId="0E2A1589"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 </w:t>
      </w:r>
      <w:r w:rsidRPr="008B2D64">
        <w:rPr>
          <w:smallCaps/>
        </w:rPr>
        <w:t>William Gilles &amp; Irene Bouhadana</w:t>
      </w:r>
      <w:r w:rsidRPr="004F54D4">
        <w:t xml:space="preserve">, </w:t>
      </w:r>
      <w:r w:rsidRPr="006B0B97">
        <w:t>“From the Right to Be Let Alone to the Right to Be Forgotten: How Privacy Is Moving in the Collecting Data Age”</w:t>
      </w:r>
      <w:r w:rsidRPr="004F54D4">
        <w:t>, in</w:t>
      </w:r>
      <w:r w:rsidRPr="004F54D4">
        <w:rPr>
          <w:smallCaps/>
        </w:rPr>
        <w:t xml:space="preserve"> </w:t>
      </w:r>
      <w:r w:rsidRPr="008B2D64">
        <w:rPr>
          <w:smallCaps/>
        </w:rPr>
        <w:t>Russell L. Weaver, Steven I. Friedland, William Gilles &amp; Irene Bouhadana</w:t>
      </w:r>
      <w:r w:rsidRPr="006B0B97">
        <w:t xml:space="preserve">, </w:t>
      </w:r>
      <w:r w:rsidRPr="006B0B97">
        <w:rPr>
          <w:i/>
        </w:rPr>
        <w:t xml:space="preserve">Privacy in a Digital Age: Perspectives </w:t>
      </w:r>
      <w:r>
        <w:rPr>
          <w:i/>
        </w:rPr>
        <w:t>f</w:t>
      </w:r>
      <w:r w:rsidRPr="006B0B97">
        <w:rPr>
          <w:i/>
        </w:rPr>
        <w:t>rom Two Continents</w:t>
      </w:r>
      <w:r w:rsidRPr="006B0B97">
        <w:t xml:space="preserve"> ___</w:t>
      </w:r>
      <w:r w:rsidRPr="004F54D4">
        <w:t xml:space="preserve"> (2016) (à paraître).</w:t>
      </w:r>
    </w:p>
  </w:footnote>
  <w:footnote w:id="80">
    <w:p w14:paraId="1D55981D" w14:textId="77777777" w:rsidR="001946B9" w:rsidRPr="00C91AD1" w:rsidRDefault="001946B9" w:rsidP="00CF5CC4">
      <w:pPr>
        <w:pStyle w:val="Notedebasdepage"/>
        <w:tabs>
          <w:tab w:val="left" w:pos="142"/>
        </w:tabs>
        <w:rPr>
          <w:i/>
          <w:lang w:val="fr-FR"/>
        </w:rPr>
      </w:pPr>
      <w:r w:rsidRPr="004F54D4">
        <w:rPr>
          <w:rStyle w:val="Caractresdenotedebasdepage"/>
          <w:rFonts w:ascii="Times New Roman" w:hAnsi="Times New Roman"/>
        </w:rPr>
        <w:footnoteRef/>
      </w:r>
      <w:r w:rsidRPr="00C91AD1">
        <w:rPr>
          <w:i/>
          <w:lang w:val="fr-FR"/>
        </w:rPr>
        <w:tab/>
        <w:t xml:space="preserve">Id. </w:t>
      </w:r>
      <w:r w:rsidRPr="00C91AD1">
        <w:rPr>
          <w:lang w:val="fr-FR"/>
        </w:rPr>
        <w:t>page</w:t>
      </w:r>
      <w:r w:rsidRPr="00C91AD1">
        <w:rPr>
          <w:i/>
          <w:lang w:val="fr-FR"/>
        </w:rPr>
        <w:t>___.</w:t>
      </w:r>
    </w:p>
  </w:footnote>
  <w:footnote w:id="81">
    <w:p w14:paraId="77B95FCE"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Voir Harley &amp; Gordon,</w:t>
      </w:r>
      <w:r w:rsidRPr="00C91AD1">
        <w:rPr>
          <w:i/>
          <w:lang w:val="fr-FR"/>
        </w:rPr>
        <w:t xml:space="preserve"> supra</w:t>
      </w:r>
      <w:r w:rsidRPr="00C91AD1">
        <w:rPr>
          <w:lang w:val="fr-FR"/>
        </w:rPr>
        <w:t xml:space="preserve"> note 77.</w:t>
      </w:r>
    </w:p>
  </w:footnote>
  <w:footnote w:id="82">
    <w:p w14:paraId="1D9D68C9" w14:textId="0DFBE06C" w:rsidR="001946B9" w:rsidRPr="00C91AD1" w:rsidRDefault="001946B9" w:rsidP="00CF5CC4">
      <w:pPr>
        <w:pStyle w:val="Notedebasdepage"/>
        <w:tabs>
          <w:tab w:val="left" w:pos="142"/>
        </w:tabs>
        <w:rPr>
          <w:i/>
          <w:lang w:val="fr-FR"/>
        </w:rPr>
      </w:pPr>
      <w:r w:rsidRPr="004F54D4">
        <w:rPr>
          <w:rStyle w:val="Caractresdenotedebasdepage"/>
          <w:rFonts w:ascii="Times New Roman" w:hAnsi="Times New Roman"/>
        </w:rPr>
        <w:footnoteRef/>
      </w:r>
      <w:r w:rsidRPr="00C91AD1">
        <w:rPr>
          <w:lang w:val="fr-FR"/>
        </w:rPr>
        <w:tab/>
        <w:t xml:space="preserve">Voir </w:t>
      </w:r>
      <w:r w:rsidRPr="00C91AD1">
        <w:rPr>
          <w:i/>
          <w:lang w:val="fr-FR"/>
        </w:rPr>
        <w:t>id.</w:t>
      </w:r>
    </w:p>
  </w:footnote>
  <w:footnote w:id="83">
    <w:p w14:paraId="3AC99FBE" w14:textId="7777777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hyperlink r:id="rId3" w:history="1">
        <w:r w:rsidRPr="00C91AD1">
          <w:rPr>
            <w:rStyle w:val="Lienhypertexte"/>
            <w:color w:val="auto"/>
            <w:u w:val="none"/>
            <w:lang w:val="fr-FR"/>
          </w:rPr>
          <w:tab/>
          <w:t>www.epa.gov/enviro</w:t>
        </w:r>
      </w:hyperlink>
      <w:r w:rsidRPr="00C91AD1">
        <w:rPr>
          <w:lang w:val="fr-FR"/>
        </w:rPr>
        <w:t xml:space="preserve"> </w:t>
      </w:r>
    </w:p>
  </w:footnote>
  <w:footnote w:id="84">
    <w:p w14:paraId="640202C1" w14:textId="530704F7"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Note personnelle</w:t>
      </w:r>
      <w:r>
        <w:rPr>
          <w:lang w:val="fr-FR"/>
        </w:rPr>
        <w:t> :</w:t>
      </w:r>
      <w:r w:rsidRPr="00C91AD1">
        <w:rPr>
          <w:lang w:val="fr-FR"/>
        </w:rPr>
        <w:t xml:space="preserve"> les sites Superfund sont aux </w:t>
      </w:r>
      <w:r>
        <w:rPr>
          <w:lang w:val="fr-FR"/>
        </w:rPr>
        <w:t>É</w:t>
      </w:r>
      <w:r w:rsidRPr="00C91AD1">
        <w:rPr>
          <w:lang w:val="fr-FR"/>
        </w:rPr>
        <w:t>tats-Unis des sites pollués pour lesquels la loi prévoit une obligation de nettoyage et de réhabilitation.</w:t>
      </w:r>
    </w:p>
  </w:footnote>
  <w:footnote w:id="85">
    <w:p w14:paraId="3C3091F0" w14:textId="15CD8C8F"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ab/>
        <w:t xml:space="preserve">Voir </w:t>
      </w:r>
      <w:r w:rsidRPr="008B2D64">
        <w:rPr>
          <w:smallCaps/>
          <w:lang w:val="fr-FR"/>
        </w:rPr>
        <w:t>Harley &amp; Gordon</w:t>
      </w:r>
      <w:r w:rsidRPr="00C91AD1">
        <w:rPr>
          <w:lang w:val="fr-FR"/>
        </w:rPr>
        <w:t>,</w:t>
      </w:r>
      <w:r w:rsidRPr="00C91AD1">
        <w:rPr>
          <w:i/>
          <w:lang w:val="fr-FR"/>
        </w:rPr>
        <w:t xml:space="preserve"> supra</w:t>
      </w:r>
      <w:r w:rsidRPr="00C91AD1">
        <w:rPr>
          <w:lang w:val="fr-FR"/>
        </w:rPr>
        <w:t xml:space="preserve"> note 77, p</w:t>
      </w:r>
      <w:r>
        <w:rPr>
          <w:lang w:val="fr-FR"/>
        </w:rPr>
        <w:t>.</w:t>
      </w:r>
      <w:r w:rsidRPr="00C91AD1">
        <w:rPr>
          <w:lang w:val="fr-FR"/>
        </w:rPr>
        <w:t xml:space="preserve"> 297.</w:t>
      </w:r>
    </w:p>
  </w:footnote>
  <w:footnote w:id="86">
    <w:p w14:paraId="2E5B6647"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87">
    <w:p w14:paraId="036F6D37"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hyperlink r:id="rId4" w:history="1">
        <w:r w:rsidRPr="004F54D4">
          <w:rPr>
            <w:rStyle w:val="Lienhypertexte"/>
            <w:color w:val="auto"/>
            <w:u w:val="none"/>
          </w:rPr>
          <w:tab/>
          <w:t>www.rtknet.org</w:t>
        </w:r>
      </w:hyperlink>
    </w:p>
  </w:footnote>
  <w:footnote w:id="88">
    <w:p w14:paraId="64BD8C07" w14:textId="4E9981EE"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Harley &amp; Gordon</w:t>
      </w:r>
      <w:r w:rsidRPr="004F54D4">
        <w:t>,</w:t>
      </w:r>
      <w:r w:rsidRPr="004F54D4">
        <w:rPr>
          <w:i/>
        </w:rPr>
        <w:t xml:space="preserve"> supra</w:t>
      </w:r>
      <w:r w:rsidRPr="004F54D4">
        <w:t xml:space="preserve"> note 77, p.</w:t>
      </w:r>
      <w:r>
        <w:t xml:space="preserve"> </w:t>
      </w:r>
      <w:r w:rsidRPr="004F54D4">
        <w:t>297.</w:t>
      </w:r>
    </w:p>
  </w:footnote>
  <w:footnote w:id="89">
    <w:p w14:paraId="56B1D975" w14:textId="777777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hyperlink r:id="rId5" w:history="1">
        <w:r w:rsidRPr="004F54D4">
          <w:rPr>
            <w:rStyle w:val="Lienhypertexte"/>
            <w:color w:val="auto"/>
            <w:u w:val="none"/>
          </w:rPr>
          <w:tab/>
          <w:t>www.scorecard.org</w:t>
        </w:r>
      </w:hyperlink>
      <w:r w:rsidRPr="004F54D4">
        <w:t xml:space="preserve"> </w:t>
      </w:r>
    </w:p>
  </w:footnote>
  <w:footnote w:id="90">
    <w:p w14:paraId="7FF05370" w14:textId="74B2B7C4"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Harley &amp; Gordon</w:t>
      </w:r>
      <w:r w:rsidRPr="004F54D4">
        <w:t>,</w:t>
      </w:r>
      <w:r w:rsidRPr="004F54D4">
        <w:rPr>
          <w:i/>
        </w:rPr>
        <w:t xml:space="preserve"> supra</w:t>
      </w:r>
      <w:r w:rsidRPr="004F54D4">
        <w:t xml:space="preserve"> note 77, p.</w:t>
      </w:r>
      <w:r>
        <w:t xml:space="preserve"> </w:t>
      </w:r>
      <w:r w:rsidRPr="004F54D4">
        <w:t>297.</w:t>
      </w:r>
    </w:p>
  </w:footnote>
  <w:footnote w:id="91">
    <w:p w14:paraId="41BDEC25"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92">
    <w:p w14:paraId="2E19160B"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93">
    <w:p w14:paraId="136F6C3B"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94">
    <w:p w14:paraId="3497CACE"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95">
    <w:p w14:paraId="3E4C2398" w14:textId="1A5BC80C"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 </w:t>
      </w:r>
      <w:hyperlink r:id="rId6" w:history="1">
        <w:r w:rsidRPr="004F54D4">
          <w:rPr>
            <w:rStyle w:val="Lienhypertexte"/>
            <w:color w:val="auto"/>
            <w:u w:val="none"/>
          </w:rPr>
          <w:t>www.epa.gov/ttn</w:t>
        </w:r>
      </w:hyperlink>
      <w:r>
        <w:t>.</w:t>
      </w:r>
    </w:p>
  </w:footnote>
  <w:footnote w:id="96">
    <w:p w14:paraId="09FE4122" w14:textId="70071ADB"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ab/>
        <w:t xml:space="preserve">Voir </w:t>
      </w:r>
      <w:r w:rsidRPr="008B2D64">
        <w:rPr>
          <w:smallCaps/>
        </w:rPr>
        <w:t>Harley &amp; Gordon</w:t>
      </w:r>
      <w:r w:rsidRPr="004F54D4">
        <w:t>,</w:t>
      </w:r>
      <w:r w:rsidRPr="004F54D4">
        <w:rPr>
          <w:i/>
        </w:rPr>
        <w:t xml:space="preserve"> supra</w:t>
      </w:r>
      <w:r w:rsidRPr="004F54D4">
        <w:t xml:space="preserve"> note 77, p</w:t>
      </w:r>
      <w:r>
        <w:t>.</w:t>
      </w:r>
      <w:r w:rsidRPr="004F54D4">
        <w:t xml:space="preserve"> 297.</w:t>
      </w:r>
    </w:p>
  </w:footnote>
  <w:footnote w:id="97">
    <w:p w14:paraId="7A1570B1"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98">
    <w:p w14:paraId="2391311C" w14:textId="77777777"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ab/>
        <w:t>Id.</w:t>
      </w:r>
    </w:p>
  </w:footnote>
  <w:footnote w:id="99">
    <w:p w14:paraId="1415CDED" w14:textId="7D28F705"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rPr>
          <w:i/>
        </w:rPr>
        <w:tab/>
        <w:t>Id.</w:t>
      </w:r>
      <w:r w:rsidRPr="004F54D4">
        <w:t xml:space="preserve"> pp.</w:t>
      </w:r>
      <w:r>
        <w:t xml:space="preserve"> </w:t>
      </w:r>
      <w:r w:rsidRPr="004F54D4">
        <w:t>297-298.</w:t>
      </w:r>
    </w:p>
  </w:footnote>
  <w:footnote w:id="100">
    <w:p w14:paraId="2389ACE7" w14:textId="63CF1053"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w:t>
      </w:r>
      <w:hyperlink r:id="rId7" w:history="1">
        <w:r w:rsidRPr="004F54D4">
          <w:rPr>
            <w:rStyle w:val="Lienhypertexte"/>
            <w:color w:val="auto"/>
            <w:u w:val="none"/>
          </w:rPr>
          <w:t>www.findlaw.com</w:t>
        </w:r>
      </w:hyperlink>
      <w:r>
        <w:rPr>
          <w:rStyle w:val="Lienhypertexte"/>
          <w:color w:val="auto"/>
          <w:u w:val="none"/>
        </w:rPr>
        <w:t>.</w:t>
      </w:r>
      <w:r w:rsidRPr="004F54D4">
        <w:t xml:space="preserve"> </w:t>
      </w:r>
    </w:p>
  </w:footnote>
  <w:footnote w:id="101">
    <w:p w14:paraId="73BAEF69" w14:textId="4852BD77"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8B2D64">
        <w:rPr>
          <w:smallCaps/>
        </w:rPr>
        <w:t>Harley &amp; Gordon</w:t>
      </w:r>
      <w:r w:rsidRPr="004F54D4">
        <w:t>,</w:t>
      </w:r>
      <w:r w:rsidRPr="004F54D4">
        <w:rPr>
          <w:i/>
        </w:rPr>
        <w:t xml:space="preserve"> supra</w:t>
      </w:r>
      <w:r w:rsidRPr="004F54D4">
        <w:t xml:space="preserve"> note 77, p.</w:t>
      </w:r>
      <w:r>
        <w:t xml:space="preserve"> </w:t>
      </w:r>
      <w:r w:rsidRPr="004F54D4">
        <w:t>298.</w:t>
      </w:r>
    </w:p>
  </w:footnote>
  <w:footnote w:id="102">
    <w:p w14:paraId="657F72A6" w14:textId="020C6CDC"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rPr>
          <w:i/>
        </w:rPr>
        <w:t xml:space="preserve"> Id.</w:t>
      </w:r>
    </w:p>
  </w:footnote>
  <w:footnote w:id="103">
    <w:p w14:paraId="655E2C89" w14:textId="6BA88E9C"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w:t>
      </w:r>
      <w:hyperlink r:id="rId8" w:history="1">
        <w:r w:rsidRPr="004F54D4">
          <w:rPr>
            <w:rStyle w:val="Lienhypertexte"/>
            <w:color w:val="auto"/>
            <w:u w:val="none"/>
          </w:rPr>
          <w:t>www.access.gpo.gov</w:t>
        </w:r>
      </w:hyperlink>
      <w:r>
        <w:rPr>
          <w:rStyle w:val="Lienhypertexte"/>
          <w:color w:val="auto"/>
          <w:u w:val="none"/>
        </w:rPr>
        <w:t>.</w:t>
      </w:r>
      <w:r w:rsidRPr="004F54D4">
        <w:t xml:space="preserve"> </w:t>
      </w:r>
    </w:p>
  </w:footnote>
  <w:footnote w:id="104">
    <w:p w14:paraId="68DF62A0" w14:textId="31B8F6C2"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8B2D64">
        <w:rPr>
          <w:smallCaps/>
        </w:rPr>
        <w:t>Harley &amp; Gordon</w:t>
      </w:r>
      <w:r w:rsidRPr="004F54D4">
        <w:t>,</w:t>
      </w:r>
      <w:r w:rsidRPr="004F54D4">
        <w:rPr>
          <w:i/>
        </w:rPr>
        <w:t xml:space="preserve"> supra</w:t>
      </w:r>
      <w:r w:rsidRPr="004F54D4">
        <w:t xml:space="preserve"> note 77, p.298.</w:t>
      </w:r>
    </w:p>
  </w:footnote>
  <w:footnote w:id="105">
    <w:p w14:paraId="5CD792AD" w14:textId="5872EEBB"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t xml:space="preserve"> Voir</w:t>
      </w:r>
      <w:r w:rsidRPr="004F54D4">
        <w:t xml:space="preserve"> </w:t>
      </w:r>
      <w:r w:rsidRPr="008B2D64">
        <w:rPr>
          <w:smallCaps/>
        </w:rPr>
        <w:t>Beth Simone Noveck</w:t>
      </w:r>
      <w:r w:rsidRPr="004F54D4">
        <w:t>,</w:t>
      </w:r>
      <w:r w:rsidRPr="004F54D4">
        <w:rPr>
          <w:i/>
        </w:rPr>
        <w:t xml:space="preserve"> </w:t>
      </w:r>
      <w:r w:rsidRPr="006B0B97">
        <w:t>“</w:t>
      </w:r>
      <w:r w:rsidRPr="00C91AD1">
        <w:t>The Electronic Revolution in Rulemaking</w:t>
      </w:r>
      <w:r>
        <w:t>”</w:t>
      </w:r>
      <w:r w:rsidRPr="004F54D4">
        <w:t xml:space="preserve">, 53 </w:t>
      </w:r>
      <w:r w:rsidRPr="00C91AD1">
        <w:rPr>
          <w:i/>
        </w:rPr>
        <w:t>Emory L.J.</w:t>
      </w:r>
      <w:r w:rsidRPr="004F54D4">
        <w:t xml:space="preserve"> 433 (2004)</w:t>
      </w:r>
    </w:p>
  </w:footnote>
  <w:footnote w:id="106">
    <w:p w14:paraId="5522EF08" w14:textId="54556C8C"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t xml:space="preserve"> </w:t>
      </w:r>
      <w:hyperlink r:id="rId9" w:history="1">
        <w:r w:rsidRPr="00C91AD1">
          <w:rPr>
            <w:rStyle w:val="Lienhypertexte"/>
            <w:color w:val="auto"/>
            <w:u w:val="none"/>
            <w:lang w:val="fr-FR"/>
          </w:rPr>
          <w:t>www.epa.gov/fedrgstr</w:t>
        </w:r>
      </w:hyperlink>
    </w:p>
  </w:footnote>
  <w:footnote w:id="107">
    <w:p w14:paraId="3838ED3C" w14:textId="6C322274"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 xml:space="preserve"> Voir </w:t>
      </w:r>
      <w:r w:rsidRPr="008B2D64">
        <w:rPr>
          <w:smallCaps/>
          <w:lang w:val="fr-FR"/>
        </w:rPr>
        <w:t>Harley &amp; Gordon</w:t>
      </w:r>
      <w:r w:rsidRPr="00C91AD1">
        <w:rPr>
          <w:lang w:val="fr-FR"/>
        </w:rPr>
        <w:t xml:space="preserve">, </w:t>
      </w:r>
      <w:r w:rsidRPr="00C91AD1">
        <w:rPr>
          <w:i/>
          <w:lang w:val="fr-FR"/>
        </w:rPr>
        <w:t xml:space="preserve">supra </w:t>
      </w:r>
      <w:r w:rsidRPr="00C91AD1">
        <w:rPr>
          <w:lang w:val="fr-FR"/>
        </w:rPr>
        <w:t>note 77.</w:t>
      </w:r>
    </w:p>
  </w:footnote>
  <w:footnote w:id="108">
    <w:p w14:paraId="7AF1DCC7" w14:textId="5A60B60C" w:rsidR="001946B9" w:rsidRPr="00C91AD1" w:rsidRDefault="001946B9" w:rsidP="00CF5CC4">
      <w:pPr>
        <w:pStyle w:val="Notedebasdepage"/>
        <w:tabs>
          <w:tab w:val="left" w:pos="142"/>
        </w:tabs>
        <w:rPr>
          <w:i/>
          <w:lang w:val="fr-FR"/>
        </w:rPr>
      </w:pPr>
      <w:r w:rsidRPr="004F54D4">
        <w:rPr>
          <w:rStyle w:val="Caractresdenotedebasdepage"/>
          <w:rFonts w:ascii="Times New Roman" w:hAnsi="Times New Roman"/>
        </w:rPr>
        <w:footnoteRef/>
      </w:r>
      <w:r w:rsidRPr="00C91AD1">
        <w:rPr>
          <w:i/>
          <w:lang w:val="fr-FR"/>
        </w:rPr>
        <w:t xml:space="preserve"> Id.</w:t>
      </w:r>
    </w:p>
  </w:footnote>
  <w:footnote w:id="109">
    <w:p w14:paraId="2BAFB129" w14:textId="4A25CCE6"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i/>
          <w:lang w:val="fr-FR"/>
        </w:rPr>
        <w:t xml:space="preserve"> Id.</w:t>
      </w:r>
      <w:r w:rsidRPr="00C91AD1">
        <w:rPr>
          <w:lang w:val="fr-FR"/>
        </w:rPr>
        <w:t xml:space="preserve"> p</w:t>
      </w:r>
      <w:r>
        <w:rPr>
          <w:lang w:val="fr-FR"/>
        </w:rPr>
        <w:t>.</w:t>
      </w:r>
      <w:r w:rsidRPr="00C91AD1">
        <w:rPr>
          <w:lang w:val="fr-FR"/>
        </w:rPr>
        <w:t xml:space="preserve"> 441.</w:t>
      </w:r>
    </w:p>
  </w:footnote>
  <w:footnote w:id="110">
    <w:p w14:paraId="0E2C36E8" w14:textId="0F1DE8AD"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i/>
          <w:lang w:val="fr-FR"/>
        </w:rPr>
        <w:t xml:space="preserve"> Id. </w:t>
      </w:r>
      <w:r w:rsidRPr="00C91AD1">
        <w:rPr>
          <w:lang w:val="fr-FR"/>
        </w:rPr>
        <w:t>p.442.</w:t>
      </w:r>
    </w:p>
  </w:footnote>
  <w:footnote w:id="111">
    <w:p w14:paraId="514320EC" w14:textId="0F9DC692"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i/>
          <w:lang w:val="fr-FR"/>
        </w:rPr>
        <w:t xml:space="preserve"> Id.</w:t>
      </w:r>
      <w:r w:rsidRPr="00C91AD1">
        <w:rPr>
          <w:lang w:val="fr-FR"/>
        </w:rPr>
        <w:t xml:space="preserve"> pp. 442-443. </w:t>
      </w:r>
    </w:p>
  </w:footnote>
  <w:footnote w:id="112">
    <w:p w14:paraId="1752D1E2" w14:textId="004B489B"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 xml:space="preserve"> Voir </w:t>
      </w:r>
      <w:r w:rsidRPr="00C91AD1">
        <w:rPr>
          <w:i/>
          <w:iCs/>
          <w:lang w:val="fr-FR"/>
        </w:rPr>
        <w:t>supra</w:t>
      </w:r>
      <w:r w:rsidRPr="00C91AD1">
        <w:rPr>
          <w:lang w:val="fr-FR"/>
        </w:rPr>
        <w:t xml:space="preserve"> note 45 (loi qui impose la publication des débats pour les décisions administratives).</w:t>
      </w:r>
    </w:p>
  </w:footnote>
  <w:footnote w:id="113">
    <w:p w14:paraId="5F4A7DE7" w14:textId="11F15C33"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 xml:space="preserve"> Pour une discussion plus complète et une analyse plus approfondie de ce programme et de ses implications sur la démocratie, voir </w:t>
      </w:r>
      <w:r w:rsidRPr="008B2D64">
        <w:rPr>
          <w:smallCaps/>
          <w:lang w:val="fr-FR"/>
        </w:rPr>
        <w:t>Russell L. Weaver</w:t>
      </w:r>
      <w:r w:rsidRPr="00C91AD1">
        <w:rPr>
          <w:lang w:val="fr-FR"/>
        </w:rPr>
        <w:t xml:space="preserve">, </w:t>
      </w:r>
      <w:r w:rsidR="008B2D64" w:rsidRPr="008B2D64">
        <w:t>“</w:t>
      </w:r>
      <w:r w:rsidRPr="00C91AD1">
        <w:rPr>
          <w:lang w:val="fr-FR"/>
        </w:rPr>
        <w:t>Cybersurveillance in a Free Society</w:t>
      </w:r>
      <w:r w:rsidR="008B2D64" w:rsidRPr="00C91AD1">
        <w:t>”</w:t>
      </w:r>
      <w:r w:rsidRPr="00C91AD1">
        <w:rPr>
          <w:lang w:val="fr-FR"/>
        </w:rPr>
        <w:t xml:space="preserve">, 72 </w:t>
      </w:r>
      <w:r w:rsidRPr="00C91AD1">
        <w:rPr>
          <w:i/>
          <w:lang w:val="fr-FR"/>
        </w:rPr>
        <w:t>Wash. &amp; Lee L. Rev.</w:t>
      </w:r>
      <w:r w:rsidRPr="00C91AD1">
        <w:rPr>
          <w:lang w:val="fr-FR"/>
        </w:rPr>
        <w:t xml:space="preserve"> 1207 (2015).</w:t>
      </w:r>
    </w:p>
  </w:footnote>
  <w:footnote w:id="114">
    <w:p w14:paraId="47CCE69A" w14:textId="5E0BE37F"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8B2D64">
        <w:rPr>
          <w:smallCaps/>
        </w:rPr>
        <w:t>Doug Stanglin</w:t>
      </w:r>
      <w:r>
        <w:t>,</w:t>
      </w:r>
      <w:r w:rsidRPr="004F54D4">
        <w:rPr>
          <w:i/>
        </w:rPr>
        <w:t xml:space="preserve"> </w:t>
      </w:r>
      <w:r w:rsidRPr="008B2D64">
        <w:t>“</w:t>
      </w:r>
      <w:r w:rsidRPr="00C91AD1">
        <w:t>Snowden Says NSA Can Tap Email Chats</w:t>
      </w:r>
      <w:r>
        <w:t>”</w:t>
      </w:r>
      <w:r w:rsidRPr="004F54D4">
        <w:rPr>
          <w:i/>
        </w:rPr>
        <w:t>, The Courier-Journal</w:t>
      </w:r>
      <w:r w:rsidRPr="004F54D4">
        <w:t>, A3 (1</w:t>
      </w:r>
      <w:r w:rsidRPr="00C91AD1">
        <w:rPr>
          <w:vertAlign w:val="superscript"/>
        </w:rPr>
        <w:t>er</w:t>
      </w:r>
      <w:r>
        <w:t xml:space="preserve"> août 2013); </w:t>
      </w:r>
      <w:r w:rsidRPr="008B2D64">
        <w:rPr>
          <w:smallCaps/>
        </w:rPr>
        <w:t>Shane Scott</w:t>
      </w:r>
      <w:r w:rsidRPr="004F54D4">
        <w:t>,</w:t>
      </w:r>
      <w:r w:rsidRPr="004F54D4">
        <w:rPr>
          <w:i/>
        </w:rPr>
        <w:t xml:space="preserve"> </w:t>
      </w:r>
      <w:r w:rsidRPr="00C91AD1">
        <w:t>“Disclosures on NSA, Surveillance Put Awkward Light on Previous Denials”</w:t>
      </w:r>
      <w:r w:rsidRPr="004F54D4">
        <w:rPr>
          <w:i/>
        </w:rPr>
        <w:t>, N.Y. Times</w:t>
      </w:r>
      <w:r w:rsidRPr="004F54D4">
        <w:t>, 12 juin 2013, A 18.</w:t>
      </w:r>
    </w:p>
  </w:footnote>
  <w:footnote w:id="115">
    <w:p w14:paraId="1AB77A10" w14:textId="2C65E1E1"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8B2D64">
        <w:rPr>
          <w:smallCaps/>
        </w:rPr>
        <w:t>Scott Shane</w:t>
      </w:r>
      <w:r w:rsidRPr="004F54D4">
        <w:t xml:space="preserve">, </w:t>
      </w:r>
      <w:r w:rsidRPr="006B0B97">
        <w:t>“No Morsel Too Minuscule for All-Consuming NSA: From Spying on Leader of U.N. to tracking Drug Deals, on Ethos of ‘Why Not?’”</w:t>
      </w:r>
      <w:r w:rsidRPr="004F54D4">
        <w:rPr>
          <w:i/>
        </w:rPr>
        <w:t>, The New York Times</w:t>
      </w:r>
      <w:r w:rsidRPr="004F54D4">
        <w:t>, A10 (13 novembre 2013).</w:t>
      </w:r>
    </w:p>
  </w:footnote>
  <w:footnote w:id="116">
    <w:p w14:paraId="0BD282AB" w14:textId="0B83D065"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 xml:space="preserve"> Par exemple, </w:t>
      </w:r>
      <w:r w:rsidRPr="008B2D64">
        <w:rPr>
          <w:smallCaps/>
          <w:lang w:val="fr-FR"/>
        </w:rPr>
        <w:t>Scott</w:t>
      </w:r>
      <w:r w:rsidRPr="00C91AD1">
        <w:rPr>
          <w:lang w:val="fr-FR"/>
        </w:rPr>
        <w:t>,</w:t>
      </w:r>
      <w:r w:rsidRPr="00C91AD1">
        <w:rPr>
          <w:i/>
          <w:lang w:val="fr-FR"/>
        </w:rPr>
        <w:t xml:space="preserve"> supra</w:t>
      </w:r>
      <w:r w:rsidRPr="00C91AD1">
        <w:rPr>
          <w:lang w:val="fr-FR"/>
        </w:rPr>
        <w:t xml:space="preserve"> note 114, p. A18.</w:t>
      </w:r>
    </w:p>
  </w:footnote>
  <w:footnote w:id="117">
    <w:p w14:paraId="25EB9F35" w14:textId="36EE2D22" w:rsidR="001946B9" w:rsidRPr="00C91AD1" w:rsidRDefault="001946B9" w:rsidP="00CF5CC4">
      <w:pPr>
        <w:pStyle w:val="Notedebasdepage"/>
        <w:tabs>
          <w:tab w:val="left" w:pos="142"/>
        </w:tabs>
        <w:rPr>
          <w:lang w:val="fr-FR"/>
        </w:rPr>
      </w:pPr>
      <w:r w:rsidRPr="004F54D4">
        <w:rPr>
          <w:rStyle w:val="Caractresdenotedebasdepage"/>
          <w:rFonts w:ascii="Times New Roman" w:hAnsi="Times New Roman"/>
        </w:rPr>
        <w:footnoteRef/>
      </w:r>
      <w:r w:rsidRPr="00C91AD1">
        <w:rPr>
          <w:lang w:val="fr-FR"/>
        </w:rPr>
        <w:t xml:space="preserve"> Voir </w:t>
      </w:r>
      <w:r w:rsidRPr="008B2D64">
        <w:rPr>
          <w:smallCaps/>
          <w:lang w:val="fr-FR"/>
        </w:rPr>
        <w:t>Shane</w:t>
      </w:r>
      <w:r w:rsidRPr="00C91AD1">
        <w:rPr>
          <w:lang w:val="fr-FR"/>
        </w:rPr>
        <w:t xml:space="preserve">, </w:t>
      </w:r>
      <w:r w:rsidRPr="00C91AD1">
        <w:rPr>
          <w:i/>
          <w:lang w:val="fr-FR"/>
        </w:rPr>
        <w:t>supra</w:t>
      </w:r>
      <w:r w:rsidRPr="00C91AD1">
        <w:rPr>
          <w:lang w:val="fr-FR"/>
        </w:rPr>
        <w:t xml:space="preserve"> note 115, p. A10.</w:t>
      </w:r>
    </w:p>
  </w:footnote>
  <w:footnote w:id="118">
    <w:p w14:paraId="5B4779DC" w14:textId="74F18A14" w:rsidR="001946B9" w:rsidRPr="00C91AD1" w:rsidRDefault="001946B9" w:rsidP="00CF5CC4">
      <w:pPr>
        <w:pStyle w:val="Notedebasdepage"/>
        <w:tabs>
          <w:tab w:val="left" w:pos="142"/>
        </w:tabs>
        <w:rPr>
          <w:i/>
          <w:lang w:val="fr-FR"/>
        </w:rPr>
      </w:pPr>
      <w:r w:rsidRPr="004F54D4">
        <w:rPr>
          <w:rStyle w:val="Caractresdenotedebasdepage"/>
          <w:rFonts w:ascii="Times New Roman" w:hAnsi="Times New Roman"/>
        </w:rPr>
        <w:footnoteRef/>
      </w:r>
      <w:r w:rsidRPr="00C91AD1">
        <w:rPr>
          <w:lang w:val="fr-FR"/>
        </w:rPr>
        <w:t xml:space="preserve"> Voir </w:t>
      </w:r>
      <w:r w:rsidRPr="00C91AD1">
        <w:rPr>
          <w:i/>
          <w:lang w:val="fr-FR"/>
        </w:rPr>
        <w:t>id.</w:t>
      </w:r>
    </w:p>
  </w:footnote>
  <w:footnote w:id="119">
    <w:p w14:paraId="601AE34F" w14:textId="17C0EFF4" w:rsidR="001946B9" w:rsidRPr="004F54D4" w:rsidRDefault="001946B9" w:rsidP="00CF5CC4">
      <w:pPr>
        <w:pStyle w:val="Notedebasdepage"/>
        <w:tabs>
          <w:tab w:val="left" w:pos="142"/>
        </w:tabs>
        <w:rPr>
          <w:i/>
        </w:rPr>
      </w:pPr>
      <w:r w:rsidRPr="004F54D4">
        <w:rPr>
          <w:rStyle w:val="Caractresdenotedebasdepage"/>
          <w:rFonts w:ascii="Times New Roman" w:hAnsi="Times New Roman"/>
        </w:rPr>
        <w:footnoteRef/>
      </w:r>
      <w:r w:rsidRPr="004F54D4">
        <w:t xml:space="preserve"> Voir </w:t>
      </w:r>
      <w:r w:rsidRPr="004F54D4">
        <w:rPr>
          <w:i/>
        </w:rPr>
        <w:t>id.</w:t>
      </w:r>
    </w:p>
  </w:footnote>
  <w:footnote w:id="120">
    <w:p w14:paraId="028F273E" w14:textId="1E7A51E1"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4F54D4">
        <w:rPr>
          <w:i/>
        </w:rPr>
        <w:t>id.</w:t>
      </w:r>
      <w:r w:rsidRPr="004F54D4">
        <w:t xml:space="preserve"> p.</w:t>
      </w:r>
      <w:r>
        <w:t xml:space="preserve"> </w:t>
      </w:r>
      <w:r w:rsidRPr="004F54D4">
        <w:t>A10</w:t>
      </w:r>
      <w:r>
        <w:t>;</w:t>
      </w:r>
      <w:r w:rsidRPr="004F54D4">
        <w:t xml:space="preserve"> voir également</w:t>
      </w:r>
      <w:r w:rsidRPr="004F54D4">
        <w:rPr>
          <w:i/>
        </w:rPr>
        <w:t xml:space="preserve"> </w:t>
      </w:r>
      <w:r w:rsidRPr="008B2D64">
        <w:rPr>
          <w:smallCaps/>
        </w:rPr>
        <w:t>Peter Maass</w:t>
      </w:r>
      <w:r w:rsidRPr="004F54D4">
        <w:t>,</w:t>
      </w:r>
      <w:r w:rsidRPr="004F54D4">
        <w:rPr>
          <w:i/>
        </w:rPr>
        <w:t xml:space="preserve"> </w:t>
      </w:r>
      <w:r w:rsidRPr="008B2D64">
        <w:t>“</w:t>
      </w:r>
      <w:r w:rsidRPr="006B0B97">
        <w:t>How Laura Poitras Helped Snowden Spill His Secrets</w:t>
      </w:r>
      <w:r>
        <w:t>”</w:t>
      </w:r>
      <w:r w:rsidRPr="004F54D4">
        <w:rPr>
          <w:i/>
        </w:rPr>
        <w:t>, The New York Times</w:t>
      </w:r>
      <w:r w:rsidRPr="004F54D4">
        <w:t xml:space="preserve">, § MM (13 août 2013); </w:t>
      </w:r>
      <w:r w:rsidRPr="008B2D64">
        <w:rPr>
          <w:smallCaps/>
        </w:rPr>
        <w:t>Charlie Savage</w:t>
      </w:r>
      <w:r w:rsidRPr="004F54D4">
        <w:t xml:space="preserve">, </w:t>
      </w:r>
      <w:r w:rsidRPr="006B0B97">
        <w:t>“C.I.A. Ties to AT&amp;T’s Add Another Side to Spy Debate”</w:t>
      </w:r>
      <w:r w:rsidRPr="004F54D4">
        <w:rPr>
          <w:i/>
        </w:rPr>
        <w:t>, International Herald Tribune</w:t>
      </w:r>
      <w:r w:rsidRPr="004F54D4">
        <w:t>, A5 (8 novembre 2013).</w:t>
      </w:r>
    </w:p>
  </w:footnote>
  <w:footnote w:id="121">
    <w:p w14:paraId="48E12B52" w14:textId="33FD19FF"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8B2D64">
        <w:rPr>
          <w:smallCaps/>
        </w:rPr>
        <w:t>Barton Gellman &amp; Ashkan Soltani</w:t>
      </w:r>
      <w:r w:rsidRPr="004F54D4">
        <w:t xml:space="preserve">, </w:t>
      </w:r>
      <w:r>
        <w:t>“</w:t>
      </w:r>
      <w:r w:rsidRPr="006B0B97">
        <w:t>NSA Hacks Yahoo, Google: Global Data Links Expose Untold Millions of Accounts</w:t>
      </w:r>
      <w:r>
        <w:t>”</w:t>
      </w:r>
      <w:r w:rsidRPr="004F54D4">
        <w:rPr>
          <w:i/>
        </w:rPr>
        <w:t>, The Courier-Journal</w:t>
      </w:r>
      <w:r w:rsidRPr="004F54D4">
        <w:t>, A-1 (31 octobre 2013).</w:t>
      </w:r>
    </w:p>
  </w:footnote>
  <w:footnote w:id="122">
    <w:p w14:paraId="0147D2AB" w14:textId="793136AD" w:rsidR="001946B9" w:rsidRPr="004F54D4" w:rsidRDefault="001946B9" w:rsidP="00CF5CC4">
      <w:pPr>
        <w:pStyle w:val="Notedebasdepage"/>
        <w:tabs>
          <w:tab w:val="left" w:pos="142"/>
        </w:tabs>
      </w:pPr>
      <w:r w:rsidRPr="004F54D4">
        <w:rPr>
          <w:rStyle w:val="Caractresdenotedebasdepage"/>
          <w:rFonts w:ascii="Times New Roman" w:hAnsi="Times New Roman"/>
        </w:rPr>
        <w:footnoteRef/>
      </w:r>
      <w:r w:rsidRPr="004F54D4">
        <w:t xml:space="preserve"> Voir </w:t>
      </w:r>
      <w:r w:rsidRPr="008B2D64">
        <w:rPr>
          <w:smallCaps/>
        </w:rPr>
        <w:t>Martha Mendoza</w:t>
      </w:r>
      <w:r w:rsidRPr="004F54D4">
        <w:t>,</w:t>
      </w:r>
      <w:r w:rsidRPr="004F54D4">
        <w:rPr>
          <w:i/>
        </w:rPr>
        <w:t xml:space="preserve"> </w:t>
      </w:r>
      <w:r w:rsidRPr="008B2D64">
        <w:t>“</w:t>
      </w:r>
      <w:r w:rsidRPr="006B0B97">
        <w:t>Reagan’s Order Led to NSA’s Broader Spying</w:t>
      </w:r>
      <w:r w:rsidRPr="008B2D64">
        <w:t>”</w:t>
      </w:r>
      <w:r w:rsidRPr="004F54D4">
        <w:rPr>
          <w:i/>
        </w:rPr>
        <w:t>, The Courier-Journal</w:t>
      </w:r>
      <w:r w:rsidRPr="004F54D4">
        <w:t xml:space="preserve">, A10, c. 1-6 (24 novembre 2013).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F8D4" w14:textId="28B40DB9" w:rsidR="001946B9" w:rsidRDefault="001946B9" w:rsidP="00D1411A">
    <w:pPr>
      <w:pStyle w:val="Titre"/>
      <w:spacing w:before="0" w:after="0"/>
      <w:rPr>
        <w:i/>
        <w:iCs/>
        <w:smallCaps w:val="0"/>
        <w:color w:val="auto"/>
        <w:spacing w:val="0"/>
        <w:sz w:val="16"/>
        <w:szCs w:val="16"/>
        <w:lang w:val="fr-FR"/>
      </w:rPr>
    </w:pPr>
    <w:r w:rsidRPr="00A4610F">
      <w:rPr>
        <w:bCs/>
        <w:i/>
        <w:iCs/>
        <w:smallCaps w:val="0"/>
        <w:color w:val="auto"/>
        <w:spacing w:val="0"/>
        <w:sz w:val="16"/>
        <w:szCs w:val="16"/>
        <w:lang w:val="fr-FR"/>
      </w:rPr>
      <w:t xml:space="preserve">Gouvernement et </w:t>
    </w:r>
    <w:r>
      <w:rPr>
        <w:bCs/>
        <w:i/>
        <w:iCs/>
        <w:smallCaps w:val="0"/>
        <w:color w:val="auto"/>
        <w:spacing w:val="0"/>
        <w:sz w:val="16"/>
        <w:szCs w:val="16"/>
        <w:lang w:val="fr-FR"/>
      </w:rPr>
      <w:t>t</w:t>
    </w:r>
    <w:r w:rsidRPr="00A4610F">
      <w:rPr>
        <w:bCs/>
        <w:i/>
        <w:iCs/>
        <w:smallCaps w:val="0"/>
        <w:color w:val="auto"/>
        <w:spacing w:val="0"/>
        <w:sz w:val="16"/>
        <w:szCs w:val="16"/>
        <w:lang w:val="fr-FR"/>
      </w:rPr>
      <w:t>ransparence à l’</w:t>
    </w:r>
    <w:r>
      <w:rPr>
        <w:bCs/>
        <w:i/>
        <w:iCs/>
        <w:smallCaps w:val="0"/>
        <w:color w:val="auto"/>
        <w:spacing w:val="0"/>
        <w:sz w:val="16"/>
        <w:szCs w:val="16"/>
        <w:lang w:val="fr-FR"/>
      </w:rPr>
      <w:t>è</w:t>
    </w:r>
    <w:r w:rsidRPr="00A4610F">
      <w:rPr>
        <w:bCs/>
        <w:i/>
        <w:iCs/>
        <w:smallCaps w:val="0"/>
        <w:color w:val="auto"/>
        <w:spacing w:val="0"/>
        <w:sz w:val="16"/>
        <w:szCs w:val="16"/>
        <w:lang w:val="fr-FR"/>
      </w:rPr>
      <w:t xml:space="preserve">re du </w:t>
    </w:r>
    <w:r>
      <w:rPr>
        <w:bCs/>
        <w:i/>
        <w:iCs/>
        <w:smallCaps w:val="0"/>
        <w:color w:val="auto"/>
        <w:spacing w:val="0"/>
        <w:sz w:val="16"/>
        <w:szCs w:val="16"/>
        <w:lang w:val="fr-FR"/>
      </w:rPr>
      <w:t>n</w:t>
    </w:r>
    <w:r w:rsidRPr="00A4610F">
      <w:rPr>
        <w:bCs/>
        <w:i/>
        <w:iCs/>
        <w:smallCaps w:val="0"/>
        <w:color w:val="auto"/>
        <w:spacing w:val="0"/>
        <w:sz w:val="16"/>
        <w:szCs w:val="16"/>
        <w:lang w:val="fr-FR"/>
      </w:rPr>
      <w:t>umérique</w:t>
    </w:r>
    <w:r>
      <w:rPr>
        <w:bCs/>
        <w:i/>
        <w:iCs/>
        <w:smallCaps w:val="0"/>
        <w:color w:val="auto"/>
        <w:spacing w:val="0"/>
        <w:sz w:val="16"/>
        <w:szCs w:val="16"/>
        <w:lang w:val="fr-FR"/>
      </w:rPr>
      <w:t> </w:t>
    </w:r>
    <w:r w:rsidRPr="00A4610F">
      <w:rPr>
        <w:bCs/>
        <w:i/>
        <w:iCs/>
        <w:smallCaps w:val="0"/>
        <w:color w:val="auto"/>
        <w:spacing w:val="0"/>
        <w:sz w:val="16"/>
        <w:szCs w:val="16"/>
        <w:lang w:val="fr-FR"/>
      </w:rPr>
      <w:t xml:space="preserve">: </w:t>
    </w:r>
    <w:r>
      <w:rPr>
        <w:bCs/>
        <w:i/>
        <w:iCs/>
        <w:smallCaps w:val="0"/>
        <w:color w:val="auto"/>
        <w:spacing w:val="0"/>
        <w:sz w:val="16"/>
        <w:szCs w:val="16"/>
        <w:lang w:val="fr-FR"/>
      </w:rPr>
      <w:t>u</w:t>
    </w:r>
    <w:r w:rsidRPr="00A4610F">
      <w:rPr>
        <w:bCs/>
        <w:i/>
        <w:iCs/>
        <w:smallCaps w:val="0"/>
        <w:color w:val="auto"/>
        <w:spacing w:val="0"/>
        <w:sz w:val="16"/>
        <w:szCs w:val="16"/>
        <w:lang w:val="fr-FR"/>
      </w:rPr>
      <w:t xml:space="preserve">ne perspective </w:t>
    </w:r>
    <w:r>
      <w:rPr>
        <w:bCs/>
        <w:i/>
        <w:iCs/>
        <w:smallCaps w:val="0"/>
        <w:color w:val="auto"/>
        <w:spacing w:val="0"/>
        <w:sz w:val="16"/>
        <w:szCs w:val="16"/>
        <w:lang w:val="fr-FR"/>
      </w:rPr>
      <w:t>États-u</w:t>
    </w:r>
    <w:r w:rsidRPr="00A4610F">
      <w:rPr>
        <w:bCs/>
        <w:i/>
        <w:iCs/>
        <w:smallCaps w:val="0"/>
        <w:color w:val="auto"/>
        <w:spacing w:val="0"/>
        <w:sz w:val="16"/>
        <w:szCs w:val="16"/>
        <w:lang w:val="fr-FR"/>
      </w:rPr>
      <w:t>nienne</w:t>
    </w:r>
    <w:r w:rsidRPr="00657C75">
      <w:rPr>
        <w:i/>
        <w:iCs/>
        <w:smallCaps w:val="0"/>
        <w:color w:val="auto"/>
        <w:spacing w:val="0"/>
        <w:sz w:val="16"/>
        <w:szCs w:val="16"/>
        <w:lang w:val="fr-FR"/>
      </w:rPr>
      <w:t xml:space="preserve"> </w:t>
    </w:r>
    <w:r w:rsidRPr="00657C75">
      <w:rPr>
        <w:i/>
        <w:iCs/>
        <w:smallCaps w:val="0"/>
        <w:color w:val="auto"/>
        <w:spacing w:val="0"/>
        <w:sz w:val="16"/>
        <w:szCs w:val="16"/>
        <w:lang w:val="fr-FR"/>
      </w:rPr>
      <w:fldChar w:fldCharType="begin"/>
    </w:r>
    <w:r w:rsidRPr="00657C75">
      <w:rPr>
        <w:i/>
        <w:iCs/>
        <w:smallCaps w:val="0"/>
        <w:color w:val="auto"/>
        <w:spacing w:val="0"/>
        <w:sz w:val="16"/>
        <w:szCs w:val="16"/>
        <w:lang w:val="fr-FR"/>
      </w:rPr>
      <w:instrText xml:space="preserve"> TITLE  \* MERGEFORMAT </w:instrText>
    </w:r>
    <w:r w:rsidRPr="00657C75">
      <w:rPr>
        <w:i/>
        <w:iCs/>
        <w:smallCaps w:val="0"/>
        <w:color w:val="auto"/>
        <w:spacing w:val="0"/>
        <w:sz w:val="16"/>
        <w:szCs w:val="16"/>
        <w:lang w:val="fr-FR"/>
      </w:rPr>
      <w:fldChar w:fldCharType="end"/>
    </w:r>
    <w:r w:rsidRPr="00657C75">
      <w:rPr>
        <w:b w:val="0"/>
        <w:i/>
        <w:iCs/>
        <w:smallCaps w:val="0"/>
        <w:noProof/>
        <w:color w:val="auto"/>
        <w:spacing w:val="0"/>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C75">
      <w:rPr>
        <w:i/>
        <w:iCs/>
        <w:smallCaps w:val="0"/>
        <w:color w:val="auto"/>
        <w:spacing w:val="0"/>
        <w:sz w:val="16"/>
        <w:szCs w:val="16"/>
        <w:lang w:val="fr-FR"/>
      </w:rPr>
      <w:fldChar w:fldCharType="begin"/>
    </w:r>
    <w:r w:rsidRPr="00657C75">
      <w:rPr>
        <w:i/>
        <w:iCs/>
        <w:smallCaps w:val="0"/>
        <w:color w:val="auto"/>
        <w:spacing w:val="0"/>
        <w:sz w:val="16"/>
        <w:szCs w:val="16"/>
        <w:lang w:val="fr-FR"/>
      </w:rPr>
      <w:instrText xml:space="preserve"> TITLE  \* MERGEFORMAT </w:instrText>
    </w:r>
    <w:r w:rsidRPr="00657C75">
      <w:rPr>
        <w:i/>
        <w:iCs/>
        <w:smallCaps w:val="0"/>
        <w:color w:val="auto"/>
        <w:spacing w:val="0"/>
        <w:sz w:val="16"/>
        <w:szCs w:val="16"/>
        <w:lang w:val="fr-FR"/>
      </w:rPr>
      <w:fldChar w:fldCharType="end"/>
    </w:r>
    <w:r w:rsidRPr="00657C75">
      <w:rPr>
        <w:i/>
        <w:iCs/>
        <w:smallCaps w:val="0"/>
        <w:color w:val="auto"/>
        <w:spacing w:val="0"/>
        <w:sz w:val="16"/>
        <w:szCs w:val="16"/>
        <w:lang w:val="fr-FR"/>
      </w:rPr>
      <w:t xml:space="preserve">– </w:t>
    </w:r>
  </w:p>
  <w:p w14:paraId="2A2E1EAA" w14:textId="558D180B" w:rsidR="001946B9" w:rsidRPr="00657C75" w:rsidRDefault="001946B9" w:rsidP="00D1411A">
    <w:pPr>
      <w:pStyle w:val="Titre"/>
      <w:spacing w:before="0" w:after="0"/>
      <w:rPr>
        <w:bCs/>
        <w:i/>
        <w:iCs/>
        <w:smallCaps w:val="0"/>
        <w:color w:val="auto"/>
        <w:spacing w:val="0"/>
        <w:sz w:val="16"/>
        <w:szCs w:val="16"/>
        <w:lang w:val="en-AU"/>
      </w:rPr>
    </w:pPr>
    <w:r w:rsidRPr="00657C75">
      <w:rPr>
        <w:i/>
        <w:iCs/>
        <w:smallCaps w:val="0"/>
        <w:color w:val="auto"/>
        <w:spacing w:val="0"/>
        <w:sz w:val="16"/>
        <w:szCs w:val="16"/>
        <w:lang w:val="fr-FR"/>
      </w:rPr>
      <w:t>Weaver</w:t>
    </w:r>
    <w:r>
      <w:rPr>
        <w:i/>
        <w:iCs/>
        <w:smallCaps w:val="0"/>
        <w:color w:val="auto"/>
        <w:spacing w:val="0"/>
        <w:sz w:val="16"/>
        <w:szCs w:val="16"/>
        <w:lang w:val="fr-FR"/>
      </w:rPr>
      <w:t xml:space="preserve"> &amp; </w:t>
    </w:r>
    <w:r w:rsidRPr="00657C75">
      <w:rPr>
        <w:i/>
        <w:iCs/>
        <w:smallCaps w:val="0"/>
        <w:color w:val="auto"/>
        <w:spacing w:val="0"/>
        <w:sz w:val="16"/>
        <w:szCs w:val="16"/>
        <w:lang w:val="fr-FR"/>
      </w:rPr>
      <w:t>Laurence Boissier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1946B9" w:rsidRDefault="001946B9">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5"/>
  </w:num>
  <w:num w:numId="4">
    <w:abstractNumId w:val="3"/>
  </w:num>
  <w:num w:numId="5">
    <w:abstractNumId w:val="22"/>
  </w:num>
  <w:num w:numId="6">
    <w:abstractNumId w:val="1"/>
  </w:num>
  <w:num w:numId="7">
    <w:abstractNumId w:val="15"/>
  </w:num>
  <w:num w:numId="8">
    <w:abstractNumId w:val="14"/>
  </w:num>
  <w:num w:numId="9">
    <w:abstractNumId w:val="18"/>
  </w:num>
  <w:num w:numId="10">
    <w:abstractNumId w:val="13"/>
  </w:num>
  <w:num w:numId="11">
    <w:abstractNumId w:val="16"/>
  </w:num>
  <w:num w:numId="12">
    <w:abstractNumId w:val="19"/>
  </w:num>
  <w:num w:numId="13">
    <w:abstractNumId w:val="8"/>
  </w:num>
  <w:num w:numId="14">
    <w:abstractNumId w:val="24"/>
  </w:num>
  <w:num w:numId="15">
    <w:abstractNumId w:val="0"/>
  </w:num>
  <w:num w:numId="16">
    <w:abstractNumId w:val="2"/>
  </w:num>
  <w:num w:numId="17">
    <w:abstractNumId w:val="2"/>
    <w:lvlOverride w:ilvl="0">
      <w:startOverride w:val="1"/>
    </w:lvlOverride>
  </w:num>
  <w:num w:numId="18">
    <w:abstractNumId w:val="17"/>
  </w:num>
  <w:num w:numId="19">
    <w:abstractNumId w:val="24"/>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3"/>
  </w:num>
  <w:num w:numId="29">
    <w:abstractNumId w:val="6"/>
  </w:num>
  <w:num w:numId="30">
    <w:abstractNumId w:val="10"/>
  </w:num>
  <w:num w:numId="31">
    <w:abstractNumId w:val="21"/>
  </w:num>
  <w:num w:numId="32">
    <w:abstractNumId w:val="24"/>
    <w:lvlOverride w:ilvl="0">
      <w:startOverride w:val="1"/>
    </w:lvlOverride>
  </w:num>
  <w:num w:numId="33">
    <w:abstractNumId w:val="25"/>
  </w:num>
  <w:num w:numId="34">
    <w:abstractNumId w:val="4"/>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6722"/>
    <w:rsid w:val="00027A10"/>
    <w:rsid w:val="00054ECC"/>
    <w:rsid w:val="00074244"/>
    <w:rsid w:val="0008171C"/>
    <w:rsid w:val="00091640"/>
    <w:rsid w:val="00097788"/>
    <w:rsid w:val="000A0233"/>
    <w:rsid w:val="000A3CBE"/>
    <w:rsid w:val="000B167D"/>
    <w:rsid w:val="000C2F46"/>
    <w:rsid w:val="000D290B"/>
    <w:rsid w:val="000E7F12"/>
    <w:rsid w:val="00102D5F"/>
    <w:rsid w:val="001037C2"/>
    <w:rsid w:val="00143D52"/>
    <w:rsid w:val="00156253"/>
    <w:rsid w:val="00157C51"/>
    <w:rsid w:val="001946B9"/>
    <w:rsid w:val="001A4CB0"/>
    <w:rsid w:val="001E062E"/>
    <w:rsid w:val="0021126C"/>
    <w:rsid w:val="0026659D"/>
    <w:rsid w:val="0026787B"/>
    <w:rsid w:val="002800B5"/>
    <w:rsid w:val="00285707"/>
    <w:rsid w:val="002A53E6"/>
    <w:rsid w:val="002B03A8"/>
    <w:rsid w:val="002B608D"/>
    <w:rsid w:val="002C5C12"/>
    <w:rsid w:val="00302545"/>
    <w:rsid w:val="003270A0"/>
    <w:rsid w:val="00332A3C"/>
    <w:rsid w:val="00355BE8"/>
    <w:rsid w:val="00360D35"/>
    <w:rsid w:val="0036624B"/>
    <w:rsid w:val="003833FB"/>
    <w:rsid w:val="00397D95"/>
    <w:rsid w:val="003D5187"/>
    <w:rsid w:val="003E0865"/>
    <w:rsid w:val="003E1ADC"/>
    <w:rsid w:val="003E3016"/>
    <w:rsid w:val="003F01C5"/>
    <w:rsid w:val="003F2171"/>
    <w:rsid w:val="003F5B3C"/>
    <w:rsid w:val="003F6F89"/>
    <w:rsid w:val="00420330"/>
    <w:rsid w:val="00427168"/>
    <w:rsid w:val="00461AAD"/>
    <w:rsid w:val="004717C5"/>
    <w:rsid w:val="00485605"/>
    <w:rsid w:val="00487C9F"/>
    <w:rsid w:val="004C5765"/>
    <w:rsid w:val="004E1F54"/>
    <w:rsid w:val="004F54D4"/>
    <w:rsid w:val="00544CD8"/>
    <w:rsid w:val="005469DC"/>
    <w:rsid w:val="00547F65"/>
    <w:rsid w:val="005539A5"/>
    <w:rsid w:val="00570C73"/>
    <w:rsid w:val="005A27A3"/>
    <w:rsid w:val="005A4D2E"/>
    <w:rsid w:val="005D088A"/>
    <w:rsid w:val="005D76E4"/>
    <w:rsid w:val="005F2448"/>
    <w:rsid w:val="006170D3"/>
    <w:rsid w:val="0063539C"/>
    <w:rsid w:val="006452EE"/>
    <w:rsid w:val="00657C75"/>
    <w:rsid w:val="0066766A"/>
    <w:rsid w:val="00682B35"/>
    <w:rsid w:val="00683100"/>
    <w:rsid w:val="006840F1"/>
    <w:rsid w:val="006A37EC"/>
    <w:rsid w:val="006B0B97"/>
    <w:rsid w:val="006E4970"/>
    <w:rsid w:val="00717449"/>
    <w:rsid w:val="00723E1B"/>
    <w:rsid w:val="0072597B"/>
    <w:rsid w:val="00725D25"/>
    <w:rsid w:val="00735ACA"/>
    <w:rsid w:val="0074214D"/>
    <w:rsid w:val="007B01F4"/>
    <w:rsid w:val="007E180A"/>
    <w:rsid w:val="007E4647"/>
    <w:rsid w:val="00845250"/>
    <w:rsid w:val="008508B6"/>
    <w:rsid w:val="00851891"/>
    <w:rsid w:val="00864CCD"/>
    <w:rsid w:val="008848BF"/>
    <w:rsid w:val="008A6C99"/>
    <w:rsid w:val="008B2D64"/>
    <w:rsid w:val="008B3B33"/>
    <w:rsid w:val="008D547F"/>
    <w:rsid w:val="008E1A7B"/>
    <w:rsid w:val="009452F0"/>
    <w:rsid w:val="00976149"/>
    <w:rsid w:val="00983A0E"/>
    <w:rsid w:val="00987882"/>
    <w:rsid w:val="009E3D92"/>
    <w:rsid w:val="00A05B69"/>
    <w:rsid w:val="00A07CD9"/>
    <w:rsid w:val="00A13AC8"/>
    <w:rsid w:val="00A31BCA"/>
    <w:rsid w:val="00A32FC4"/>
    <w:rsid w:val="00A4610F"/>
    <w:rsid w:val="00A57830"/>
    <w:rsid w:val="00A9013D"/>
    <w:rsid w:val="00A92BD1"/>
    <w:rsid w:val="00A935ED"/>
    <w:rsid w:val="00AA7215"/>
    <w:rsid w:val="00AC2ED5"/>
    <w:rsid w:val="00AD26CC"/>
    <w:rsid w:val="00B21B9A"/>
    <w:rsid w:val="00B247A3"/>
    <w:rsid w:val="00B3419E"/>
    <w:rsid w:val="00BD7CAC"/>
    <w:rsid w:val="00BF1547"/>
    <w:rsid w:val="00BF48A7"/>
    <w:rsid w:val="00BF78C9"/>
    <w:rsid w:val="00C43FBC"/>
    <w:rsid w:val="00C537ED"/>
    <w:rsid w:val="00C8242E"/>
    <w:rsid w:val="00C85388"/>
    <w:rsid w:val="00C91AD1"/>
    <w:rsid w:val="00C93596"/>
    <w:rsid w:val="00CB54AA"/>
    <w:rsid w:val="00CC2A63"/>
    <w:rsid w:val="00CD3AEE"/>
    <w:rsid w:val="00CE2FFA"/>
    <w:rsid w:val="00CF2029"/>
    <w:rsid w:val="00CF5CC4"/>
    <w:rsid w:val="00D06B83"/>
    <w:rsid w:val="00D1411A"/>
    <w:rsid w:val="00D2717A"/>
    <w:rsid w:val="00D87B10"/>
    <w:rsid w:val="00DA11F7"/>
    <w:rsid w:val="00DA31D6"/>
    <w:rsid w:val="00DA3A16"/>
    <w:rsid w:val="00DA5679"/>
    <w:rsid w:val="00DE079C"/>
    <w:rsid w:val="00DF18AE"/>
    <w:rsid w:val="00E44AFA"/>
    <w:rsid w:val="00E478CB"/>
    <w:rsid w:val="00E639F0"/>
    <w:rsid w:val="00E66FE9"/>
    <w:rsid w:val="00E73F34"/>
    <w:rsid w:val="00F15AF4"/>
    <w:rsid w:val="00FD0F6E"/>
    <w:rsid w:val="00FD3945"/>
    <w:rsid w:val="00FE6C5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D87B10"/>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D87B10"/>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rdc.org/airpollution/cep" TargetMode="External"/><Relationship Id="rId9" Type="http://schemas.openxmlformats.org/officeDocument/2006/relationships/hyperlink" Target="http://www.epa.gov/ARD-R5/permits"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enviro" TargetMode="External"/><Relationship Id="rId4" Type="http://schemas.openxmlformats.org/officeDocument/2006/relationships/hyperlink" Target="http://www.rtknet.org/" TargetMode="External"/><Relationship Id="rId5" Type="http://schemas.openxmlformats.org/officeDocument/2006/relationships/hyperlink" Target="http://www.scorecard.org/" TargetMode="External"/><Relationship Id="rId6" Type="http://schemas.openxmlformats.org/officeDocument/2006/relationships/hyperlink" Target="http://www.epa.gov/ttn" TargetMode="External"/><Relationship Id="rId7" Type="http://schemas.openxmlformats.org/officeDocument/2006/relationships/hyperlink" Target="http://www.findlaw.com/" TargetMode="External"/><Relationship Id="rId8" Type="http://schemas.openxmlformats.org/officeDocument/2006/relationships/hyperlink" Target="http://www.access.gpo.gov/" TargetMode="External"/><Relationship Id="rId9" Type="http://schemas.openxmlformats.org/officeDocument/2006/relationships/hyperlink" Target="http://www.epa.gov/fedrgstr" TargetMode="External"/><Relationship Id="rId1" Type="http://schemas.openxmlformats.org/officeDocument/2006/relationships/hyperlink" Target="http://www.pacer.gov/" TargetMode="External"/><Relationship Id="rId2" Type="http://schemas.openxmlformats.org/officeDocument/2006/relationships/hyperlink" Target="http://www.grant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8B2337-CA1E-9E47-AF40-61419044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5152</Words>
  <Characters>28340</Characters>
  <Application>Microsoft Macintosh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33426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2017-03-07T17:14:00Z</cp:lastPrinted>
  <dcterms:created xsi:type="dcterms:W3CDTF">2017-03-07T17:14:00Z</dcterms:created>
  <dcterms:modified xsi:type="dcterms:W3CDTF">2017-03-07T18:13:00Z</dcterms:modified>
  <cp:category/>
</cp:coreProperties>
</file>