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04850" w14:textId="7B8F4D3A" w:rsidR="00B96223" w:rsidRPr="000B39D7" w:rsidRDefault="00B96223" w:rsidP="000B39D7">
      <w:pPr>
        <w:pStyle w:val="Titre"/>
      </w:pPr>
      <w:bookmarkStart w:id="0" w:name="_GoBack"/>
      <w:bookmarkEnd w:id="0"/>
      <w:r w:rsidRPr="000B39D7">
        <w:t>The right of Access to Public Information:</w:t>
      </w:r>
      <w:r w:rsidR="00624BE6">
        <w:t xml:space="preserve"> </w:t>
      </w:r>
      <w:r w:rsidR="000B39D7" w:rsidRPr="000B39D7">
        <w:t xml:space="preserve">An Analysis of International </w:t>
      </w:r>
      <w:r w:rsidRPr="000B39D7">
        <w:t>Conventions</w:t>
      </w:r>
    </w:p>
    <w:p w14:paraId="10280E97" w14:textId="492ECF3E" w:rsidR="009342B9" w:rsidRPr="000B39D7" w:rsidRDefault="000B39D7" w:rsidP="000B39D7">
      <w:pPr>
        <w:pBdr>
          <w:bottom w:val="single" w:sz="4" w:space="1" w:color="auto"/>
        </w:pBdr>
        <w:spacing w:after="0" w:line="240" w:lineRule="auto"/>
        <w:jc w:val="both"/>
        <w:outlineLvl w:val="0"/>
        <w:rPr>
          <w:rFonts w:ascii="Garamond" w:hAnsi="Garamond" w:cs="Times New Roman"/>
          <w:b/>
          <w:sz w:val="24"/>
          <w:szCs w:val="24"/>
        </w:rPr>
      </w:pPr>
      <w:r w:rsidRPr="000B39D7">
        <w:rPr>
          <w:rFonts w:ascii="Garamond" w:hAnsi="Garamond" w:cs="Times New Roman"/>
          <w:sz w:val="24"/>
          <w:szCs w:val="24"/>
        </w:rPr>
        <w:t>by</w:t>
      </w:r>
      <w:r>
        <w:rPr>
          <w:rFonts w:ascii="Garamond" w:hAnsi="Garamond" w:cs="Times New Roman"/>
          <w:b/>
          <w:sz w:val="24"/>
          <w:szCs w:val="24"/>
        </w:rPr>
        <w:t xml:space="preserve"> </w:t>
      </w:r>
      <w:r w:rsidR="00B96223" w:rsidRPr="008832DF">
        <w:rPr>
          <w:rFonts w:ascii="Garamond" w:hAnsi="Garamond" w:cs="Times New Roman"/>
          <w:b/>
          <w:sz w:val="24"/>
          <w:szCs w:val="24"/>
        </w:rPr>
        <w:t xml:space="preserve">Irène </w:t>
      </w:r>
      <w:r>
        <w:rPr>
          <w:rFonts w:ascii="Garamond" w:hAnsi="Garamond" w:cs="Times New Roman"/>
          <w:b/>
          <w:sz w:val="24"/>
          <w:szCs w:val="24"/>
        </w:rPr>
        <w:t xml:space="preserve">BOUHADANA </w:t>
      </w:r>
      <w:r w:rsidR="009342B9" w:rsidRPr="008832DF">
        <w:rPr>
          <w:rFonts w:ascii="Garamond" w:hAnsi="Garamond" w:cs="Times New Roman"/>
          <w:sz w:val="24"/>
          <w:szCs w:val="24"/>
        </w:rPr>
        <w:t>Associate Professor at the Sorbonne Law-School (University of Paris</w:t>
      </w:r>
      <w:r w:rsidR="00CB6176" w:rsidRPr="008832DF">
        <w:rPr>
          <w:rFonts w:ascii="Garamond" w:hAnsi="Garamond" w:cs="Times New Roman"/>
          <w:sz w:val="24"/>
          <w:szCs w:val="24"/>
        </w:rPr>
        <w:t> </w:t>
      </w:r>
      <w:r w:rsidR="009342B9" w:rsidRPr="008832DF">
        <w:rPr>
          <w:rFonts w:ascii="Garamond" w:hAnsi="Garamond" w:cs="Times New Roman"/>
          <w:sz w:val="24"/>
          <w:szCs w:val="24"/>
        </w:rPr>
        <w:t>1 Panthéon-Sorbonne)</w:t>
      </w:r>
      <w:r w:rsidR="00521248" w:rsidRPr="008832DF">
        <w:rPr>
          <w:rFonts w:ascii="Garamond" w:hAnsi="Garamond" w:cs="Times New Roman"/>
          <w:sz w:val="24"/>
          <w:szCs w:val="24"/>
        </w:rPr>
        <w:t xml:space="preserve">, </w:t>
      </w:r>
      <w:r w:rsidR="009342B9" w:rsidRPr="008832DF">
        <w:rPr>
          <w:rFonts w:ascii="Garamond" w:hAnsi="Garamond" w:cs="Times New Roman"/>
          <w:sz w:val="24"/>
          <w:szCs w:val="24"/>
        </w:rPr>
        <w:t>Secretary-General of IMODEV</w:t>
      </w:r>
    </w:p>
    <w:p w14:paraId="2A478763" w14:textId="77777777" w:rsidR="000B39D7" w:rsidRPr="008832DF" w:rsidRDefault="000B39D7" w:rsidP="000B39D7">
      <w:pPr>
        <w:spacing w:after="0" w:line="240" w:lineRule="auto"/>
        <w:jc w:val="both"/>
        <w:rPr>
          <w:rFonts w:ascii="Garamond" w:hAnsi="Garamond" w:cs="Times New Roman"/>
          <w:sz w:val="24"/>
          <w:szCs w:val="24"/>
        </w:rPr>
      </w:pPr>
    </w:p>
    <w:p w14:paraId="0A2293A6" w14:textId="00703EC3" w:rsidR="00AB53B7" w:rsidRPr="00AB53B7" w:rsidRDefault="00AB53B7" w:rsidP="00AB53B7">
      <w:pPr>
        <w:keepNext/>
        <w:framePr w:dropCap="drop" w:lines="3" w:wrap="around" w:vAnchor="text" w:hAnchor="text"/>
        <w:spacing w:after="0" w:line="810" w:lineRule="exact"/>
        <w:jc w:val="both"/>
        <w:textAlignment w:val="baseline"/>
        <w:rPr>
          <w:rFonts w:ascii="Garamond" w:hAnsi="Garamond" w:cs="Times New Roman"/>
          <w:position w:val="-9"/>
          <w:sz w:val="108"/>
          <w:szCs w:val="24"/>
        </w:rPr>
      </w:pPr>
      <w:r w:rsidRPr="00AB53B7">
        <w:rPr>
          <w:rFonts w:ascii="Garamond" w:hAnsi="Garamond" w:cs="Times New Roman"/>
          <w:position w:val="-9"/>
          <w:sz w:val="108"/>
          <w:szCs w:val="24"/>
        </w:rPr>
        <w:t>T</w:t>
      </w:r>
    </w:p>
    <w:p w14:paraId="6D89C027" w14:textId="69EE8A02" w:rsidR="00B96223" w:rsidRPr="008832DF" w:rsidRDefault="00AB53B7" w:rsidP="000B39D7">
      <w:pPr>
        <w:spacing w:after="0" w:line="240" w:lineRule="auto"/>
        <w:jc w:val="both"/>
        <w:rPr>
          <w:rFonts w:ascii="Garamond" w:hAnsi="Garamond" w:cs="Times New Roman"/>
          <w:sz w:val="24"/>
          <w:szCs w:val="24"/>
        </w:rPr>
      </w:pPr>
      <w:r>
        <w:rPr>
          <w:rFonts w:ascii="Garamond" w:hAnsi="Garamond" w:cs="Times New Roman"/>
          <w:sz w:val="24"/>
          <w:szCs w:val="24"/>
        </w:rPr>
        <w:t>h</w:t>
      </w:r>
      <w:r w:rsidR="00B96223" w:rsidRPr="008832DF">
        <w:rPr>
          <w:rFonts w:ascii="Garamond" w:hAnsi="Garamond" w:cs="Times New Roman"/>
          <w:sz w:val="24"/>
          <w:szCs w:val="24"/>
        </w:rPr>
        <w:t>e right of access to public information is one of the cornerstones of freedom of expression,</w:t>
      </w:r>
      <w:r w:rsidR="00062237" w:rsidRPr="008832DF">
        <w:rPr>
          <w:rStyle w:val="Appelnotedebasdep"/>
          <w:rFonts w:ascii="Garamond" w:hAnsi="Garamond" w:cs="Times New Roman"/>
          <w:sz w:val="24"/>
          <w:szCs w:val="24"/>
        </w:rPr>
        <w:footnoteReference w:id="1"/>
      </w:r>
      <w:r w:rsidR="00D831D9" w:rsidRPr="008832DF">
        <w:rPr>
          <w:rStyle w:val="Appelnotedebasdep"/>
          <w:rFonts w:ascii="Garamond" w:hAnsi="Garamond" w:cs="Times New Roman"/>
          <w:sz w:val="24"/>
          <w:szCs w:val="24"/>
        </w:rPr>
        <w:t>,</w:t>
      </w:r>
      <w:r w:rsidR="00D831D9" w:rsidRPr="008832DF">
        <w:rPr>
          <w:rStyle w:val="Appelnotedebasdep"/>
          <w:rFonts w:ascii="Garamond" w:hAnsi="Garamond" w:cs="Times New Roman"/>
          <w:sz w:val="24"/>
          <w:szCs w:val="24"/>
        </w:rPr>
        <w:footnoteReference w:id="2"/>
      </w:r>
      <w:r w:rsidR="00B96223" w:rsidRPr="008832DF">
        <w:rPr>
          <w:rFonts w:ascii="Garamond" w:hAnsi="Garamond" w:cs="Times New Roman"/>
          <w:sz w:val="24"/>
          <w:szCs w:val="24"/>
        </w:rPr>
        <w:t xml:space="preserve"> or the “free comm</w:t>
      </w:r>
      <w:r w:rsidR="00F04CD7" w:rsidRPr="008832DF">
        <w:rPr>
          <w:rFonts w:ascii="Garamond" w:hAnsi="Garamond" w:cs="Times New Roman"/>
          <w:sz w:val="24"/>
          <w:szCs w:val="24"/>
        </w:rPr>
        <w:t>unication of ideas and opinions</w:t>
      </w:r>
      <w:r w:rsidR="00B96223" w:rsidRPr="008832DF">
        <w:rPr>
          <w:rFonts w:ascii="Garamond" w:hAnsi="Garamond" w:cs="Times New Roman"/>
          <w:sz w:val="24"/>
          <w:szCs w:val="24"/>
        </w:rPr>
        <w:t>”</w:t>
      </w:r>
      <w:r w:rsidR="00F04CD7" w:rsidRPr="008832DF">
        <w:rPr>
          <w:rFonts w:ascii="Garamond" w:hAnsi="Garamond" w:cs="Times New Roman"/>
          <w:sz w:val="24"/>
          <w:szCs w:val="24"/>
        </w:rPr>
        <w:t>,</w:t>
      </w:r>
      <w:r w:rsidR="00B96223" w:rsidRPr="008832DF">
        <w:rPr>
          <w:rFonts w:ascii="Garamond" w:hAnsi="Garamond" w:cs="Times New Roman"/>
          <w:sz w:val="24"/>
          <w:szCs w:val="24"/>
        </w:rPr>
        <w:t xml:space="preserve"> which is regarded as “one of humankind</w:t>
      </w:r>
      <w:r w:rsidR="00F04CD7" w:rsidRPr="008832DF">
        <w:rPr>
          <w:rFonts w:ascii="Garamond" w:hAnsi="Garamond" w:cs="Times New Roman"/>
          <w:sz w:val="24"/>
          <w:szCs w:val="24"/>
        </w:rPr>
        <w:t>’</w:t>
      </w:r>
      <w:r w:rsidR="00B96223" w:rsidRPr="008832DF">
        <w:rPr>
          <w:rFonts w:ascii="Garamond" w:hAnsi="Garamond" w:cs="Times New Roman"/>
          <w:sz w:val="24"/>
          <w:szCs w:val="24"/>
        </w:rPr>
        <w:t>s most valuable possessions” under the French Declaration of the Rights of Man and of the Citizen of August 26, 1789, itself the inspiration for international texts. The right of access to public information is also fundamental to the right to transparency, which is one of the key components of democracy and an open government.</w:t>
      </w:r>
      <w:r w:rsidR="00A17EA7" w:rsidRPr="008832DF">
        <w:rPr>
          <w:rStyle w:val="Appelnotedebasdep"/>
          <w:rFonts w:ascii="Garamond" w:hAnsi="Garamond" w:cs="Times New Roman"/>
          <w:sz w:val="24"/>
          <w:szCs w:val="24"/>
        </w:rPr>
        <w:footnoteReference w:id="3"/>
      </w:r>
      <w:r w:rsidR="00B96223" w:rsidRPr="008832DF">
        <w:rPr>
          <w:rFonts w:ascii="Garamond" w:hAnsi="Garamond" w:cs="Times New Roman"/>
          <w:sz w:val="24"/>
          <w:szCs w:val="24"/>
        </w:rPr>
        <w:t xml:space="preserve"> This process has accelerated since Barack Obama’s Memorandum of 2009,</w:t>
      </w:r>
      <w:r w:rsidR="00974078" w:rsidRPr="008832DF">
        <w:rPr>
          <w:rStyle w:val="Appelnotedebasdep"/>
          <w:rFonts w:ascii="Garamond" w:hAnsi="Garamond" w:cs="Times New Roman"/>
          <w:sz w:val="24"/>
          <w:szCs w:val="24"/>
        </w:rPr>
        <w:footnoteReference w:id="4"/>
      </w:r>
      <w:r w:rsidR="00B96223" w:rsidRPr="008832DF">
        <w:rPr>
          <w:rFonts w:ascii="Garamond" w:hAnsi="Garamond" w:cs="Times New Roman"/>
          <w:sz w:val="24"/>
          <w:szCs w:val="24"/>
        </w:rPr>
        <w:t xml:space="preserve"> but its underpinnings existed in earlier texts.</w:t>
      </w:r>
      <w:r w:rsidR="00974078" w:rsidRPr="008832DF">
        <w:rPr>
          <w:rStyle w:val="Appelnotedebasdep"/>
          <w:rFonts w:ascii="Garamond" w:hAnsi="Garamond" w:cs="Times New Roman"/>
          <w:sz w:val="24"/>
          <w:szCs w:val="24"/>
        </w:rPr>
        <w:footnoteReference w:id="5"/>
      </w:r>
    </w:p>
    <w:p w14:paraId="589D8BB5" w14:textId="3E7AFA2B" w:rsidR="00B96223" w:rsidRPr="008832DF" w:rsidRDefault="00B96223" w:rsidP="000B39D7">
      <w:pPr>
        <w:spacing w:after="0" w:line="240" w:lineRule="auto"/>
        <w:jc w:val="both"/>
        <w:rPr>
          <w:rFonts w:ascii="Garamond" w:hAnsi="Garamond" w:cs="Times New Roman"/>
          <w:sz w:val="24"/>
          <w:szCs w:val="24"/>
        </w:rPr>
      </w:pPr>
      <w:r w:rsidRPr="008832DF">
        <w:rPr>
          <w:rFonts w:ascii="Garamond" w:hAnsi="Garamond" w:cs="Times New Roman"/>
          <w:sz w:val="24"/>
          <w:szCs w:val="24"/>
        </w:rPr>
        <w:t xml:space="preserve">Analysis of international conventions is illuminating in view of the issues inherent to both freedom of information and the </w:t>
      </w:r>
      <w:r w:rsidRPr="008832DF">
        <w:rPr>
          <w:rFonts w:ascii="Garamond" w:hAnsi="Garamond" w:cs="Times New Roman"/>
          <w:sz w:val="24"/>
          <w:szCs w:val="24"/>
        </w:rPr>
        <w:lastRenderedPageBreak/>
        <w:t xml:space="preserve">transparency on which government action should be founded. Indeed, these texts constitute a body of principles that help to build a common heritage of values and ideas aspiring to influence the laws of the Member States. While instituting measures for ensuring the right of access to public documents is the task of the Member States, the influence of international texts is considerable, particularly at a time when the growth of new information and communication technologies is eliminating borders and making it easier to provide public access to information. </w:t>
      </w:r>
    </w:p>
    <w:p w14:paraId="2F057C31" w14:textId="521BA9F2" w:rsidR="00B96223" w:rsidRPr="008832DF" w:rsidRDefault="00B96223" w:rsidP="000B39D7">
      <w:pPr>
        <w:spacing w:after="0" w:line="240" w:lineRule="auto"/>
        <w:jc w:val="both"/>
        <w:rPr>
          <w:rFonts w:ascii="Garamond" w:hAnsi="Garamond" w:cs="Times New Roman"/>
          <w:sz w:val="24"/>
          <w:szCs w:val="24"/>
        </w:rPr>
      </w:pPr>
      <w:r w:rsidRPr="008832DF">
        <w:rPr>
          <w:rFonts w:ascii="Garamond" w:hAnsi="Garamond" w:cs="Times New Roman"/>
          <w:sz w:val="24"/>
          <w:szCs w:val="24"/>
        </w:rPr>
        <w:t>In this new environment, information involves significant challenges for government agencies and citizens alike. While government agencies produce, hold and receive information, citizens demand access to it. Public information plays an essential role that needs to be taken into account in the relations established between government agencies and private citizens, that is to say, between the governing and the governed. Any attempt by the government to slow or hinder citizens</w:t>
      </w:r>
      <w:r w:rsidR="00487DB9" w:rsidRPr="008832DF">
        <w:rPr>
          <w:rFonts w:ascii="Garamond" w:hAnsi="Garamond" w:cs="Times New Roman"/>
          <w:sz w:val="24"/>
          <w:szCs w:val="24"/>
        </w:rPr>
        <w:t>’</w:t>
      </w:r>
      <w:r w:rsidRPr="008832DF">
        <w:rPr>
          <w:rFonts w:ascii="Garamond" w:hAnsi="Garamond" w:cs="Times New Roman"/>
          <w:sz w:val="24"/>
          <w:szCs w:val="24"/>
        </w:rPr>
        <w:t xml:space="preserve"> access to public information can become a sticking point in the relationship between the government and those it governs. If instead the government facilitates access to public information, it can help to improve the relations established between the governing and the governed. By assisting its citizens, a government imparts transparency and integrity to that relationship.</w:t>
      </w:r>
    </w:p>
    <w:p w14:paraId="558B4CC4" w14:textId="0E28DEE4" w:rsidR="007F6548" w:rsidRPr="008832DF" w:rsidRDefault="00B96223" w:rsidP="000B39D7">
      <w:pPr>
        <w:spacing w:after="0" w:line="240" w:lineRule="auto"/>
        <w:jc w:val="both"/>
        <w:rPr>
          <w:rFonts w:ascii="Garamond" w:hAnsi="Garamond" w:cs="Times New Roman"/>
          <w:sz w:val="24"/>
          <w:szCs w:val="24"/>
        </w:rPr>
      </w:pPr>
      <w:r w:rsidRPr="008832DF">
        <w:rPr>
          <w:rFonts w:ascii="Garamond" w:hAnsi="Garamond" w:cs="Times New Roman"/>
          <w:sz w:val="24"/>
          <w:szCs w:val="24"/>
        </w:rPr>
        <w:t>The prospect of open government is merely a possibility, because each State that is a party to the international conventions on access to public information must also take appropriate measures to ensure that citizens can actually exercise their right of access to public documents. The advent of the information society thus transforms the relationship between government agencies and citizens</w:t>
      </w:r>
      <w:r w:rsidR="00487DB9" w:rsidRPr="008832DF">
        <w:rPr>
          <w:rStyle w:val="Appelnotedebasdep"/>
          <w:rFonts w:ascii="Garamond" w:hAnsi="Garamond" w:cs="Times New Roman"/>
          <w:sz w:val="24"/>
          <w:szCs w:val="24"/>
        </w:rPr>
        <w:footnoteReference w:id="6"/>
      </w:r>
      <w:r w:rsidRPr="008832DF">
        <w:rPr>
          <w:rFonts w:ascii="Garamond" w:hAnsi="Garamond" w:cs="Times New Roman"/>
          <w:sz w:val="24"/>
          <w:szCs w:val="24"/>
        </w:rPr>
        <w:t xml:space="preserve">. Citizens have a right of access to public information that member States must regulate to ensure it can be exercised. Once it has been incorporated into national legal systems, that right can be asserted and exercised by citizens. It can also be used, when needed, to provide recourse for citizens who may encounter obstacles in gaining access to public documents, obstacles that can sometimes render the right of access to public documents meaningless. </w:t>
      </w:r>
      <w:r w:rsidR="007F6548" w:rsidRPr="008832DF">
        <w:rPr>
          <w:rFonts w:ascii="Garamond" w:hAnsi="Garamond" w:cs="Times New Roman"/>
          <w:sz w:val="24"/>
          <w:szCs w:val="24"/>
        </w:rPr>
        <w:t>The absence of a response of administration</w:t>
      </w:r>
      <w:r w:rsidR="008277EF" w:rsidRPr="008832DF">
        <w:rPr>
          <w:rFonts w:ascii="Garamond" w:hAnsi="Garamond" w:cs="Times New Roman"/>
          <w:sz w:val="24"/>
          <w:szCs w:val="24"/>
        </w:rPr>
        <w:t>s</w:t>
      </w:r>
      <w:r w:rsidR="007F6548" w:rsidRPr="008832DF">
        <w:rPr>
          <w:rFonts w:ascii="Garamond" w:hAnsi="Garamond" w:cs="Times New Roman"/>
          <w:sz w:val="24"/>
          <w:szCs w:val="24"/>
        </w:rPr>
        <w:t xml:space="preserve"> or the</w:t>
      </w:r>
      <w:r w:rsidR="008277EF" w:rsidRPr="008832DF">
        <w:rPr>
          <w:rFonts w:ascii="Garamond" w:hAnsi="Garamond" w:cs="Times New Roman"/>
          <w:sz w:val="24"/>
          <w:szCs w:val="24"/>
        </w:rPr>
        <w:t>ir</w:t>
      </w:r>
      <w:r w:rsidR="007F6548" w:rsidRPr="008832DF">
        <w:rPr>
          <w:rFonts w:ascii="Garamond" w:hAnsi="Garamond" w:cs="Times New Roman"/>
          <w:sz w:val="24"/>
          <w:szCs w:val="24"/>
        </w:rPr>
        <w:t xml:space="preserve"> late response </w:t>
      </w:r>
      <w:r w:rsidR="00F04CD7" w:rsidRPr="008832DF">
        <w:rPr>
          <w:rFonts w:ascii="Garamond" w:hAnsi="Garamond" w:cs="Times New Roman"/>
          <w:sz w:val="24"/>
          <w:szCs w:val="24"/>
        </w:rPr>
        <w:t>is</w:t>
      </w:r>
      <w:r w:rsidR="007F6548" w:rsidRPr="008832DF">
        <w:rPr>
          <w:rFonts w:ascii="Garamond" w:hAnsi="Garamond" w:cs="Times New Roman"/>
          <w:sz w:val="24"/>
          <w:szCs w:val="24"/>
        </w:rPr>
        <w:t xml:space="preserve"> among the barriers that citizens still face in many countries when they decide to exercise their right to access. In this regard, Transparency International underlined </w:t>
      </w:r>
      <w:r w:rsidR="00EE0229" w:rsidRPr="008832DF">
        <w:rPr>
          <w:rFonts w:ascii="Garamond" w:hAnsi="Garamond" w:cs="Times New Roman"/>
          <w:sz w:val="24"/>
          <w:szCs w:val="24"/>
        </w:rPr>
        <w:t xml:space="preserve">in 2012 </w:t>
      </w:r>
      <w:r w:rsidR="007F6548" w:rsidRPr="008832DF">
        <w:rPr>
          <w:rFonts w:ascii="Garamond" w:hAnsi="Garamond" w:cs="Times New Roman"/>
          <w:sz w:val="24"/>
          <w:szCs w:val="24"/>
        </w:rPr>
        <w:t>that</w:t>
      </w:r>
      <w:r w:rsidR="00EE0229" w:rsidRPr="008832DF">
        <w:rPr>
          <w:rFonts w:ascii="Garamond" w:hAnsi="Garamond" w:cs="Times New Roman"/>
          <w:sz w:val="24"/>
          <w:szCs w:val="24"/>
        </w:rPr>
        <w:t xml:space="preserve"> “access to information laws are in place in all countries assessed apart from Spain, where a draft law [was] under consideration by parliament at </w:t>
      </w:r>
      <w:r w:rsidR="00EE0229" w:rsidRPr="008832DF">
        <w:rPr>
          <w:rFonts w:ascii="Garamond" w:hAnsi="Garamond" w:cs="Times New Roman"/>
          <w:sz w:val="24"/>
          <w:szCs w:val="24"/>
        </w:rPr>
        <w:lastRenderedPageBreak/>
        <w:t>the time of writing.</w:t>
      </w:r>
      <w:r w:rsidR="00EE0229" w:rsidRPr="008832DF">
        <w:rPr>
          <w:rStyle w:val="Appelnotedebasdep"/>
          <w:rFonts w:ascii="Garamond" w:hAnsi="Garamond" w:cs="Times New Roman"/>
          <w:sz w:val="24"/>
          <w:szCs w:val="24"/>
        </w:rPr>
        <w:footnoteReference w:id="7"/>
      </w:r>
      <w:r w:rsidR="00EE0229" w:rsidRPr="008832DF">
        <w:rPr>
          <w:rFonts w:ascii="Garamond" w:hAnsi="Garamond" w:cs="Times New Roman"/>
          <w:sz w:val="24"/>
          <w:szCs w:val="24"/>
        </w:rPr>
        <w:t xml:space="preserve"> However, in 20 of the 25 countries, implementation is found to be poor. Practical barriers to access include excessive fees (Ireland), long delays (the Czech Republic, Portugal, Slovenia, Sweden), low levels of public awareness of freedom of information laws (Germany, Portugal and Switzerland), lack of an independent oversight body (Bulgaria, Hungary and Latvia) and municipal authorities’ failure and/or lack of capacity to comply with the rules (the Czech Republic and Romania).”</w:t>
      </w:r>
      <w:r w:rsidR="00EE0229" w:rsidRPr="008832DF">
        <w:rPr>
          <w:rStyle w:val="Appelnotedebasdep"/>
          <w:rFonts w:ascii="Garamond" w:hAnsi="Garamond" w:cs="Times New Roman"/>
          <w:sz w:val="24"/>
          <w:szCs w:val="24"/>
        </w:rPr>
        <w:footnoteReference w:id="8"/>
      </w:r>
    </w:p>
    <w:p w14:paraId="007A2AB0" w14:textId="1233D71E" w:rsidR="00B96223" w:rsidRPr="008832DF" w:rsidRDefault="007F6548" w:rsidP="000B39D7">
      <w:pPr>
        <w:spacing w:after="0" w:line="240" w:lineRule="auto"/>
        <w:jc w:val="both"/>
        <w:rPr>
          <w:rFonts w:ascii="Garamond" w:hAnsi="Garamond" w:cs="Times New Roman"/>
          <w:sz w:val="24"/>
          <w:szCs w:val="24"/>
        </w:rPr>
      </w:pPr>
      <w:r w:rsidRPr="008832DF">
        <w:rPr>
          <w:rFonts w:ascii="Garamond" w:hAnsi="Garamond" w:cs="Times New Roman"/>
          <w:sz w:val="24"/>
          <w:szCs w:val="24"/>
        </w:rPr>
        <w:t>A</w:t>
      </w:r>
      <w:r w:rsidR="00B96223" w:rsidRPr="008832DF">
        <w:rPr>
          <w:rFonts w:ascii="Garamond" w:hAnsi="Garamond" w:cs="Times New Roman"/>
          <w:sz w:val="24"/>
          <w:szCs w:val="24"/>
        </w:rPr>
        <w:t>ny effective right of access to public documents thus also depends on the ability of citizens to successfully assert their rights in the courts. This assumes that the courts must be impartial, which is guaranteed in Europe, for example, by Article 6 para. 1 of the European Convention for the Protection of Human Rights and Fundamental Freedoms.</w:t>
      </w:r>
    </w:p>
    <w:p w14:paraId="69C44EF8" w14:textId="3902DC6D" w:rsidR="00B96223" w:rsidRPr="008832DF" w:rsidRDefault="00B96223" w:rsidP="000B39D7">
      <w:pPr>
        <w:spacing w:after="0" w:line="240" w:lineRule="auto"/>
        <w:jc w:val="both"/>
        <w:rPr>
          <w:rFonts w:ascii="Garamond" w:hAnsi="Garamond" w:cs="Times New Roman"/>
          <w:sz w:val="24"/>
          <w:szCs w:val="24"/>
        </w:rPr>
      </w:pPr>
      <w:r w:rsidRPr="008832DF">
        <w:rPr>
          <w:rFonts w:ascii="Garamond" w:hAnsi="Garamond" w:cs="Times New Roman"/>
          <w:sz w:val="24"/>
          <w:szCs w:val="24"/>
        </w:rPr>
        <w:t>Various international conventions, including the one mentioned above, are designed to recognize or strengthen the right of access to public documents and make the States responsible for including appropriate measures in their national legal systems to ensure this right is effectively available. By committing to a stronger right of access to public documents, member States help to build a common legacy that can give this right broader support and a more solid foundation. It must be emphasized that this issue is growing increasingly critical in the era of the information society</w:t>
      </w:r>
      <w:r w:rsidR="005D4C67" w:rsidRPr="008832DF">
        <w:rPr>
          <w:rFonts w:ascii="Garamond" w:hAnsi="Garamond" w:cs="Times New Roman"/>
          <w:sz w:val="24"/>
          <w:szCs w:val="24"/>
        </w:rPr>
        <w:t xml:space="preserve"> – </w:t>
      </w:r>
      <w:r w:rsidRPr="008832DF">
        <w:rPr>
          <w:rFonts w:ascii="Garamond" w:hAnsi="Garamond" w:cs="Times New Roman"/>
          <w:sz w:val="24"/>
          <w:szCs w:val="24"/>
        </w:rPr>
        <w:t>an expression that suggests that information has become a defining element in the evolution of contemporary society.</w:t>
      </w:r>
      <w:r w:rsidR="00A0588F" w:rsidRPr="008832DF">
        <w:rPr>
          <w:rStyle w:val="Appelnotedebasdep"/>
          <w:rFonts w:ascii="Garamond" w:hAnsi="Garamond" w:cs="Times New Roman"/>
          <w:sz w:val="24"/>
          <w:szCs w:val="24"/>
        </w:rPr>
        <w:footnoteReference w:id="9"/>
      </w:r>
    </w:p>
    <w:p w14:paraId="2B16604E" w14:textId="12583F5F" w:rsidR="00B96223" w:rsidRPr="008832DF" w:rsidRDefault="00B96223" w:rsidP="000B39D7">
      <w:pPr>
        <w:spacing w:after="0" w:line="240" w:lineRule="auto"/>
        <w:jc w:val="both"/>
        <w:rPr>
          <w:rFonts w:ascii="Garamond" w:hAnsi="Garamond" w:cs="Times New Roman"/>
          <w:sz w:val="24"/>
          <w:szCs w:val="24"/>
        </w:rPr>
      </w:pPr>
      <w:r w:rsidRPr="008832DF">
        <w:rPr>
          <w:rFonts w:ascii="Garamond" w:hAnsi="Garamond" w:cs="Times New Roman"/>
          <w:sz w:val="24"/>
          <w:szCs w:val="24"/>
        </w:rPr>
        <w:t>In light of international conventions, the right of access to public documents, which determines the public</w:t>
      </w:r>
      <w:r w:rsidR="00F04CD7" w:rsidRPr="008832DF">
        <w:rPr>
          <w:rFonts w:ascii="Garamond" w:hAnsi="Garamond" w:cs="Times New Roman"/>
          <w:sz w:val="24"/>
          <w:szCs w:val="24"/>
        </w:rPr>
        <w:t>’</w:t>
      </w:r>
      <w:r w:rsidRPr="008832DF">
        <w:rPr>
          <w:rFonts w:ascii="Garamond" w:hAnsi="Garamond" w:cs="Times New Roman"/>
          <w:sz w:val="24"/>
          <w:szCs w:val="24"/>
        </w:rPr>
        <w:t>s right of access to information, is fundamental to democratic societies.</w:t>
      </w:r>
      <w:r w:rsidR="001569FD" w:rsidRPr="008832DF">
        <w:rPr>
          <w:rStyle w:val="Appelnotedebasdep"/>
          <w:rFonts w:ascii="Garamond" w:hAnsi="Garamond" w:cs="Times New Roman"/>
          <w:sz w:val="24"/>
          <w:szCs w:val="24"/>
        </w:rPr>
        <w:footnoteReference w:id="10"/>
      </w:r>
      <w:r w:rsidRPr="008832DF">
        <w:rPr>
          <w:rFonts w:ascii="Garamond" w:hAnsi="Garamond" w:cs="Times New Roman"/>
          <w:sz w:val="24"/>
          <w:szCs w:val="24"/>
        </w:rPr>
        <w:t xml:space="preserve"> In addition, the rise of new information and communications technology contributes substantially to accelerating this process. Technological</w:t>
      </w:r>
      <w:r w:rsidRPr="008832DF">
        <w:rPr>
          <w:rFonts w:ascii="Garamond" w:hAnsi="Garamond" w:cs="Times New Roman"/>
          <w:sz w:val="24"/>
          <w:szCs w:val="24"/>
          <w:u w:val="single"/>
        </w:rPr>
        <w:t xml:space="preserve"> </w:t>
      </w:r>
      <w:r w:rsidRPr="008832DF">
        <w:rPr>
          <w:rFonts w:ascii="Garamond" w:hAnsi="Garamond" w:cs="Times New Roman"/>
          <w:sz w:val="24"/>
          <w:szCs w:val="24"/>
        </w:rPr>
        <w:lastRenderedPageBreak/>
        <w:t>advances make it possible to give citizens significantly easier access to the public information they need or that is intended for them. In this context, access to public documents is of vital interest, both to the governments that possess the information because they receive or produce it, and to the governed, who increasingly demand access to it.</w:t>
      </w:r>
    </w:p>
    <w:p w14:paraId="12938124" w14:textId="15265536" w:rsidR="00B96223" w:rsidRPr="008832DF" w:rsidRDefault="00B96223" w:rsidP="000B39D7">
      <w:pPr>
        <w:spacing w:line="240" w:lineRule="auto"/>
        <w:jc w:val="both"/>
        <w:rPr>
          <w:rFonts w:ascii="Garamond" w:hAnsi="Garamond" w:cs="Times New Roman"/>
          <w:sz w:val="24"/>
          <w:szCs w:val="24"/>
        </w:rPr>
      </w:pPr>
      <w:r w:rsidRPr="008832DF">
        <w:rPr>
          <w:rFonts w:ascii="Garamond" w:hAnsi="Garamond" w:cs="Times New Roman"/>
          <w:sz w:val="24"/>
          <w:szCs w:val="24"/>
        </w:rPr>
        <w:t>In this regard, the right of access to public information or public documents has become a major factor in the development of democracy. Indeed, access to public information is an important factor in the relationship between the governing and the governed. The degree of access to public information and documents thus becomes a standard for evaluating the responsibility, or even the legitimacy, of governments. This development is noteworthy for at least two reasons. First, it may help to remedy the crisis in political representation, the effects of which are apparent worldwide, with consequences that can be easily seen with each new election. Second, this development is fully aligned with the goals of open governments, which are closely linked to improved access to public documents and information.</w:t>
      </w:r>
    </w:p>
    <w:p w14:paraId="10CC5C7D" w14:textId="7F46698C" w:rsidR="00AE6CA3" w:rsidRPr="000B39D7" w:rsidRDefault="00AE6CA3" w:rsidP="000B39D7">
      <w:pPr>
        <w:pStyle w:val="Titre1"/>
      </w:pPr>
      <w:r w:rsidRPr="000B39D7">
        <w:t>§</w:t>
      </w:r>
      <w:r w:rsidR="00CB6176" w:rsidRPr="000B39D7">
        <w:t> </w:t>
      </w:r>
      <w:r w:rsidRPr="000B39D7">
        <w:t xml:space="preserve">1 – Promoting a </w:t>
      </w:r>
      <w:r w:rsidR="009F4405" w:rsidRPr="000B39D7">
        <w:t>B</w:t>
      </w:r>
      <w:r w:rsidRPr="000B39D7">
        <w:t xml:space="preserve">roader </w:t>
      </w:r>
      <w:r w:rsidR="009F4405" w:rsidRPr="000B39D7">
        <w:t>R</w:t>
      </w:r>
      <w:r w:rsidRPr="000B39D7">
        <w:t xml:space="preserve">ight of </w:t>
      </w:r>
      <w:r w:rsidR="009F4405" w:rsidRPr="000B39D7">
        <w:t>A</w:t>
      </w:r>
      <w:r w:rsidRPr="000B39D7">
        <w:t xml:space="preserve">ccess to </w:t>
      </w:r>
      <w:r w:rsidR="009F4405" w:rsidRPr="000B39D7">
        <w:t>P</w:t>
      </w:r>
      <w:r w:rsidRPr="000B39D7">
        <w:t xml:space="preserve">ublic </w:t>
      </w:r>
      <w:r w:rsidR="009F4405" w:rsidRPr="000B39D7">
        <w:t>I</w:t>
      </w:r>
      <w:r w:rsidRPr="000B39D7">
        <w:t xml:space="preserve">nformation </w:t>
      </w:r>
      <w:r w:rsidR="001D1EEF" w:rsidRPr="000B39D7">
        <w:t xml:space="preserve">Thanks to </w:t>
      </w:r>
      <w:r w:rsidRPr="000B39D7">
        <w:t xml:space="preserve">a </w:t>
      </w:r>
      <w:r w:rsidR="009F4405" w:rsidRPr="000B39D7">
        <w:t>B</w:t>
      </w:r>
      <w:r w:rsidRPr="000B39D7">
        <w:t xml:space="preserve">road </w:t>
      </w:r>
      <w:r w:rsidR="009F4405" w:rsidRPr="000B39D7">
        <w:t>V</w:t>
      </w:r>
      <w:r w:rsidRPr="000B39D7">
        <w:t xml:space="preserve">iew of the </w:t>
      </w:r>
      <w:r w:rsidR="009F4405" w:rsidRPr="000B39D7">
        <w:t>C</w:t>
      </w:r>
      <w:r w:rsidRPr="000B39D7">
        <w:t xml:space="preserve">oncept of </w:t>
      </w:r>
      <w:r w:rsidR="009F4405" w:rsidRPr="000B39D7">
        <w:t>G</w:t>
      </w:r>
      <w:r w:rsidRPr="000B39D7">
        <w:t xml:space="preserve">overnment </w:t>
      </w:r>
      <w:r w:rsidR="009F4405" w:rsidRPr="000B39D7">
        <w:t>B</w:t>
      </w:r>
      <w:r w:rsidRPr="000B39D7">
        <w:t>odies</w:t>
      </w:r>
    </w:p>
    <w:p w14:paraId="0B04D38C" w14:textId="0D480A9E" w:rsidR="00AE6CA3" w:rsidRPr="008832DF" w:rsidRDefault="00AE6CA3" w:rsidP="000B39D7">
      <w:pPr>
        <w:spacing w:after="0" w:line="240" w:lineRule="auto"/>
        <w:jc w:val="both"/>
        <w:rPr>
          <w:rFonts w:ascii="Garamond" w:hAnsi="Garamond" w:cs="Times New Roman"/>
          <w:sz w:val="24"/>
          <w:szCs w:val="24"/>
        </w:rPr>
      </w:pPr>
      <w:r w:rsidRPr="008832DF">
        <w:rPr>
          <w:rFonts w:ascii="Garamond" w:hAnsi="Garamond" w:cs="Times New Roman"/>
          <w:sz w:val="24"/>
          <w:szCs w:val="24"/>
        </w:rPr>
        <w:t xml:space="preserve">International texts show a gradual expansion of the right of access to public information. This trend is reflected in a broad understanding of concepts that are closely linked to the right of access to public information. In view of this, we first need to understand what is meant by the concept of government bodies (or public authorities). This is indeed essential, since it concerns those who hold public information. This is an important precondition for broadening and strengthening the right of access. Our first source on this subject is the Aarhus Convention of June 25, 1998, in which “public authorities” are defined as executive agencies. </w:t>
      </w:r>
      <w:r w:rsidR="005D5BEC" w:rsidRPr="008832DF">
        <w:rPr>
          <w:rFonts w:ascii="Garamond" w:hAnsi="Garamond" w:cs="Times New Roman"/>
          <w:sz w:val="24"/>
          <w:szCs w:val="24"/>
        </w:rPr>
        <w:t>This text specifies clearly</w:t>
      </w:r>
      <w:r w:rsidR="00F04CD7" w:rsidRPr="008832DF">
        <w:rPr>
          <w:rFonts w:ascii="Garamond" w:hAnsi="Garamond" w:cs="Times New Roman"/>
          <w:sz w:val="24"/>
          <w:szCs w:val="24"/>
        </w:rPr>
        <w:t>, however,</w:t>
      </w:r>
      <w:r w:rsidR="005D5BEC" w:rsidRPr="008832DF">
        <w:rPr>
          <w:rFonts w:ascii="Garamond" w:hAnsi="Garamond" w:cs="Times New Roman"/>
          <w:sz w:val="24"/>
          <w:szCs w:val="24"/>
        </w:rPr>
        <w:t xml:space="preserve"> that the definition of public authorities “does not include bodies or institutions acting in a judicial or legislative capacity”</w:t>
      </w:r>
      <w:r w:rsidR="00F04CD7" w:rsidRPr="008832DF">
        <w:rPr>
          <w:rFonts w:ascii="Garamond" w:hAnsi="Garamond" w:cs="Times New Roman"/>
          <w:sz w:val="24"/>
          <w:szCs w:val="24"/>
        </w:rPr>
        <w:t>.</w:t>
      </w:r>
      <w:r w:rsidR="005D5BEC" w:rsidRPr="008832DF">
        <w:rPr>
          <w:rStyle w:val="Appelnotedebasdep"/>
          <w:rFonts w:ascii="Garamond" w:hAnsi="Garamond" w:cs="Times New Roman"/>
          <w:sz w:val="24"/>
          <w:szCs w:val="24"/>
        </w:rPr>
        <w:footnoteReference w:id="11"/>
      </w:r>
      <w:r w:rsidR="005D5BEC" w:rsidRPr="008832DF">
        <w:rPr>
          <w:rFonts w:ascii="Garamond" w:hAnsi="Garamond" w:cs="Times New Roman"/>
          <w:sz w:val="24"/>
          <w:szCs w:val="24"/>
        </w:rPr>
        <w:t xml:space="preserve"> </w:t>
      </w:r>
      <w:r w:rsidRPr="008832DF">
        <w:rPr>
          <w:rFonts w:ascii="Garamond" w:hAnsi="Garamond" w:cs="Times New Roman"/>
          <w:sz w:val="24"/>
          <w:szCs w:val="24"/>
        </w:rPr>
        <w:t xml:space="preserve">This exclusion </w:t>
      </w:r>
      <w:r w:rsidR="005D5BEC" w:rsidRPr="008832DF">
        <w:rPr>
          <w:rFonts w:ascii="Garamond" w:hAnsi="Garamond" w:cs="Times New Roman"/>
          <w:sz w:val="24"/>
          <w:szCs w:val="24"/>
        </w:rPr>
        <w:t xml:space="preserve">of the legislature and the judiciary </w:t>
      </w:r>
      <w:r w:rsidRPr="008832DF">
        <w:rPr>
          <w:rFonts w:ascii="Garamond" w:hAnsi="Garamond" w:cs="Times New Roman"/>
          <w:sz w:val="24"/>
          <w:szCs w:val="24"/>
        </w:rPr>
        <w:t>limits the scope of application of the right of access to public information.</w:t>
      </w:r>
    </w:p>
    <w:p w14:paraId="533454CF" w14:textId="4500118A" w:rsidR="00AE6CA3" w:rsidRPr="008832DF" w:rsidRDefault="00AE6CA3" w:rsidP="000B39D7">
      <w:pPr>
        <w:spacing w:after="0" w:line="240" w:lineRule="auto"/>
        <w:jc w:val="both"/>
        <w:rPr>
          <w:rFonts w:ascii="Garamond" w:hAnsi="Garamond" w:cs="Times New Roman"/>
          <w:sz w:val="24"/>
          <w:szCs w:val="24"/>
        </w:rPr>
      </w:pPr>
      <w:r w:rsidRPr="008832DF">
        <w:rPr>
          <w:rFonts w:ascii="Garamond" w:hAnsi="Garamond" w:cs="Times New Roman"/>
          <w:sz w:val="24"/>
          <w:szCs w:val="24"/>
        </w:rPr>
        <w:t>The Council of Europe Convention of November 27, 2008, bridged this gap by taking a broader view of the concept of public authorities. The definition used in the Council of Europe Convention is based on the one used in the Aarhus Convention, but it also includes legislative and judicial bodies</w:t>
      </w:r>
      <w:r w:rsidRPr="008832DF">
        <w:rPr>
          <w:rStyle w:val="Appelnotedebasdep"/>
          <w:rFonts w:ascii="Garamond" w:hAnsi="Garamond" w:cs="Times New Roman"/>
          <w:sz w:val="24"/>
          <w:szCs w:val="24"/>
        </w:rPr>
        <w:footnoteReference w:id="12"/>
      </w:r>
      <w:r w:rsidRPr="008832DF">
        <w:rPr>
          <w:rFonts w:ascii="Garamond" w:hAnsi="Garamond" w:cs="Times New Roman"/>
          <w:sz w:val="24"/>
          <w:szCs w:val="24"/>
        </w:rPr>
        <w:t xml:space="preserve">. This development is crucial, since it gives greater consistency to the right to public information. Legislative and judicial bodies are indeed valuable sources of information for the public. Laws and legislative </w:t>
      </w:r>
      <w:r w:rsidRPr="008832DF">
        <w:rPr>
          <w:rFonts w:ascii="Garamond" w:hAnsi="Garamond" w:cs="Times New Roman"/>
          <w:sz w:val="24"/>
          <w:szCs w:val="24"/>
        </w:rPr>
        <w:lastRenderedPageBreak/>
        <w:t>activity as a whole give citizens access to the texts that serve as the legal basis for policymaking. The judicial bodi</w:t>
      </w:r>
      <w:r w:rsidR="00310BC6" w:rsidRPr="008832DF">
        <w:rPr>
          <w:rFonts w:ascii="Garamond" w:hAnsi="Garamond" w:cs="Times New Roman"/>
          <w:sz w:val="24"/>
          <w:szCs w:val="24"/>
        </w:rPr>
        <w:t>es</w:t>
      </w:r>
      <w:r w:rsidRPr="008832DF">
        <w:rPr>
          <w:rFonts w:ascii="Garamond" w:hAnsi="Garamond" w:cs="Times New Roman"/>
          <w:sz w:val="24"/>
          <w:szCs w:val="24"/>
        </w:rPr>
        <w:t xml:space="preserve"> interpret those texts, a task that has important implications for their implementation. By including these bodies in the definition of public authorities, the right of access to public documents becomes both more consistent and more coherent. This inclusion is in keeping with a broader right of access to public documents.</w:t>
      </w:r>
    </w:p>
    <w:p w14:paraId="19A676D2" w14:textId="0A4A7025" w:rsidR="00AE6CA3" w:rsidRPr="008832DF" w:rsidRDefault="00AE6CA3" w:rsidP="000B39D7">
      <w:pPr>
        <w:spacing w:after="0" w:line="240" w:lineRule="auto"/>
        <w:jc w:val="both"/>
        <w:rPr>
          <w:rFonts w:ascii="Garamond" w:hAnsi="Garamond" w:cs="Times New Roman"/>
          <w:sz w:val="24"/>
          <w:szCs w:val="24"/>
        </w:rPr>
      </w:pPr>
      <w:r w:rsidRPr="008832DF">
        <w:rPr>
          <w:rFonts w:ascii="Garamond" w:hAnsi="Garamond" w:cs="Times New Roman"/>
          <w:sz w:val="24"/>
          <w:szCs w:val="24"/>
        </w:rPr>
        <w:t>The trend towards enlarging this right continued with the Declaration on Parliamentary Openness</w:t>
      </w:r>
      <w:r w:rsidR="00310BC6" w:rsidRPr="008832DF">
        <w:rPr>
          <w:rStyle w:val="Appelnotedebasdep"/>
          <w:rFonts w:ascii="Garamond" w:hAnsi="Garamond" w:cs="Times New Roman"/>
          <w:sz w:val="24"/>
          <w:szCs w:val="24"/>
        </w:rPr>
        <w:footnoteReference w:id="13"/>
      </w:r>
      <w:r w:rsidRPr="008832DF">
        <w:rPr>
          <w:rFonts w:ascii="Garamond" w:hAnsi="Garamond" w:cs="Times New Roman"/>
          <w:sz w:val="24"/>
          <w:szCs w:val="24"/>
        </w:rPr>
        <w:t>, adopted in Rome on the International Day of Democracy, September 15, 2012.</w:t>
      </w:r>
      <w:r w:rsidR="00DB78DF" w:rsidRPr="008832DF">
        <w:rPr>
          <w:rFonts w:ascii="Garamond" w:hAnsi="Garamond" w:cs="Times New Roman"/>
          <w:sz w:val="24"/>
          <w:szCs w:val="24"/>
        </w:rPr>
        <w:t xml:space="preserve"> In its Preamble, this Declaration</w:t>
      </w:r>
      <w:r w:rsidR="00154686" w:rsidRPr="008832DF">
        <w:rPr>
          <w:rFonts w:ascii="Garamond" w:hAnsi="Garamond" w:cs="Times New Roman"/>
          <w:sz w:val="24"/>
          <w:szCs w:val="24"/>
        </w:rPr>
        <w:t xml:space="preserve"> underlines that</w:t>
      </w:r>
      <w:r w:rsidR="00F408D8" w:rsidRPr="008832DF">
        <w:rPr>
          <w:rFonts w:ascii="Garamond" w:hAnsi="Garamond" w:cs="Times New Roman"/>
          <w:sz w:val="24"/>
          <w:szCs w:val="24"/>
        </w:rPr>
        <w:t xml:space="preserve"> </w:t>
      </w:r>
      <w:r w:rsidR="005D4C67" w:rsidRPr="008832DF">
        <w:rPr>
          <w:rFonts w:ascii="Garamond" w:hAnsi="Garamond" w:cs="Times New Roman"/>
          <w:sz w:val="24"/>
          <w:szCs w:val="24"/>
        </w:rPr>
        <w:t>“</w:t>
      </w:r>
      <w:r w:rsidR="00154686" w:rsidRPr="008832DF">
        <w:rPr>
          <w:rFonts w:ascii="Garamond" w:hAnsi="Garamond" w:cs="Times New Roman"/>
          <w:sz w:val="24"/>
          <w:szCs w:val="24"/>
        </w:rPr>
        <w:t>parliamentary openness empowers citizens to engage in the legislative process […]</w:t>
      </w:r>
      <w:r w:rsidR="005D4C67" w:rsidRPr="008832DF">
        <w:rPr>
          <w:rFonts w:ascii="Garamond" w:hAnsi="Garamond" w:cs="Times New Roman"/>
          <w:sz w:val="24"/>
          <w:szCs w:val="24"/>
        </w:rPr>
        <w:t>”.</w:t>
      </w:r>
      <w:r w:rsidR="00154686" w:rsidRPr="008832DF">
        <w:rPr>
          <w:rStyle w:val="Appelnotedebasdep"/>
          <w:rFonts w:ascii="Garamond" w:hAnsi="Garamond" w:cs="Times New Roman"/>
          <w:sz w:val="24"/>
          <w:szCs w:val="24"/>
        </w:rPr>
        <w:footnoteReference w:id="14"/>
      </w:r>
      <w:r w:rsidR="00154686" w:rsidRPr="008832DF">
        <w:rPr>
          <w:rFonts w:ascii="Garamond" w:hAnsi="Garamond" w:cs="Times New Roman"/>
          <w:sz w:val="24"/>
          <w:szCs w:val="24"/>
        </w:rPr>
        <w:t xml:space="preserve"> Moreover</w:t>
      </w:r>
      <w:r w:rsidR="005D4C67" w:rsidRPr="008832DF">
        <w:rPr>
          <w:rFonts w:ascii="Garamond" w:hAnsi="Garamond" w:cs="Times New Roman"/>
          <w:sz w:val="24"/>
          <w:szCs w:val="24"/>
        </w:rPr>
        <w:t>,</w:t>
      </w:r>
      <w:r w:rsidR="00154686" w:rsidRPr="008832DF">
        <w:rPr>
          <w:rFonts w:ascii="Garamond" w:hAnsi="Garamond" w:cs="Times New Roman"/>
          <w:sz w:val="24"/>
          <w:szCs w:val="24"/>
        </w:rPr>
        <w:t xml:space="preserve"> in order to promote a culture of openness, this text claims that </w:t>
      </w:r>
      <w:r w:rsidR="005D4C67" w:rsidRPr="008832DF">
        <w:rPr>
          <w:rFonts w:ascii="Garamond" w:hAnsi="Garamond" w:cs="Times New Roman"/>
          <w:sz w:val="24"/>
          <w:szCs w:val="24"/>
        </w:rPr>
        <w:t>“</w:t>
      </w:r>
      <w:r w:rsidR="00154686" w:rsidRPr="008832DF">
        <w:rPr>
          <w:rFonts w:ascii="Garamond" w:hAnsi="Garamond" w:cs="Times New Roman"/>
          <w:sz w:val="24"/>
          <w:szCs w:val="24"/>
        </w:rPr>
        <w:t>Parliamentary information belongs to the public</w:t>
      </w:r>
      <w:r w:rsidR="005D4C67" w:rsidRPr="008832DF">
        <w:rPr>
          <w:rFonts w:ascii="Garamond" w:hAnsi="Garamond" w:cs="Times New Roman"/>
          <w:sz w:val="24"/>
          <w:szCs w:val="24"/>
        </w:rPr>
        <w:t>”.</w:t>
      </w:r>
      <w:r w:rsidR="00154686" w:rsidRPr="008832DF">
        <w:rPr>
          <w:rStyle w:val="Appelnotedebasdep"/>
          <w:rFonts w:ascii="Garamond" w:hAnsi="Garamond" w:cs="Times New Roman"/>
          <w:sz w:val="24"/>
          <w:szCs w:val="24"/>
        </w:rPr>
        <w:footnoteReference w:id="15"/>
      </w:r>
      <w:r w:rsidR="002A7CFC" w:rsidRPr="008832DF">
        <w:rPr>
          <w:rFonts w:ascii="Garamond" w:hAnsi="Garamond" w:cs="Times New Roman"/>
          <w:sz w:val="24"/>
          <w:szCs w:val="24"/>
        </w:rPr>
        <w:t xml:space="preserve"> This</w:t>
      </w:r>
      <w:r w:rsidR="00512634" w:rsidRPr="008832DF">
        <w:rPr>
          <w:rFonts w:ascii="Garamond" w:hAnsi="Garamond" w:cs="Times New Roman"/>
          <w:sz w:val="24"/>
          <w:szCs w:val="24"/>
        </w:rPr>
        <w:t xml:space="preserve"> principle </w:t>
      </w:r>
      <w:r w:rsidR="002A7CFC" w:rsidRPr="008832DF">
        <w:rPr>
          <w:rFonts w:ascii="Garamond" w:hAnsi="Garamond" w:cs="Times New Roman"/>
          <w:sz w:val="24"/>
          <w:szCs w:val="24"/>
        </w:rPr>
        <w:t>implies “the obligation of public institutions to proactively disclose information. According to Access info and the Open Knowledge Foundation, “</w:t>
      </w:r>
      <w:r w:rsidR="00604142" w:rsidRPr="008832DF">
        <w:rPr>
          <w:rFonts w:ascii="Garamond" w:hAnsi="Garamond" w:cs="Times New Roman"/>
          <w:sz w:val="24"/>
          <w:szCs w:val="24"/>
        </w:rPr>
        <w:t>for members of the public</w:t>
      </w:r>
      <w:r w:rsidR="002A7CFC" w:rsidRPr="008832DF">
        <w:rPr>
          <w:rFonts w:ascii="Garamond" w:hAnsi="Garamond" w:cs="Times New Roman"/>
          <w:sz w:val="24"/>
          <w:szCs w:val="24"/>
        </w:rPr>
        <w:t>, the automatic avai</w:t>
      </w:r>
      <w:r w:rsidR="00604142" w:rsidRPr="008832DF">
        <w:rPr>
          <w:rFonts w:ascii="Garamond" w:hAnsi="Garamond" w:cs="Times New Roman"/>
          <w:sz w:val="24"/>
          <w:szCs w:val="24"/>
        </w:rPr>
        <w:t>lability of information means timely access to information and hence reduces the need to file information requests</w:t>
      </w:r>
      <w:r w:rsidR="00F777FE" w:rsidRPr="008832DF">
        <w:rPr>
          <w:rFonts w:ascii="Garamond" w:hAnsi="Garamond" w:cs="Times New Roman"/>
          <w:sz w:val="24"/>
          <w:szCs w:val="24"/>
        </w:rPr>
        <w:t>.</w:t>
      </w:r>
      <w:r w:rsidR="00604142" w:rsidRPr="008832DF">
        <w:rPr>
          <w:rFonts w:ascii="Garamond" w:hAnsi="Garamond" w:cs="Times New Roman"/>
          <w:sz w:val="24"/>
          <w:szCs w:val="24"/>
        </w:rPr>
        <w:t>”</w:t>
      </w:r>
      <w:r w:rsidR="00604142" w:rsidRPr="008832DF">
        <w:rPr>
          <w:rStyle w:val="Appelnotedebasdep"/>
          <w:rFonts w:ascii="Garamond" w:hAnsi="Garamond" w:cs="Times New Roman"/>
          <w:sz w:val="24"/>
          <w:szCs w:val="24"/>
        </w:rPr>
        <w:footnoteReference w:id="16"/>
      </w:r>
      <w:r w:rsidR="002A7CFC" w:rsidRPr="008832DF">
        <w:rPr>
          <w:rFonts w:ascii="Garamond" w:hAnsi="Garamond" w:cs="Times New Roman"/>
          <w:sz w:val="24"/>
          <w:szCs w:val="24"/>
        </w:rPr>
        <w:t xml:space="preserve"> </w:t>
      </w:r>
    </w:p>
    <w:p w14:paraId="2229262A" w14:textId="1956D669" w:rsidR="00AE6CA3" w:rsidRPr="008832DF" w:rsidRDefault="00AE6CA3" w:rsidP="000B39D7">
      <w:pPr>
        <w:spacing w:after="0" w:line="240" w:lineRule="auto"/>
        <w:jc w:val="both"/>
        <w:rPr>
          <w:rFonts w:ascii="Garamond" w:hAnsi="Garamond" w:cs="Times New Roman"/>
          <w:sz w:val="24"/>
          <w:szCs w:val="24"/>
        </w:rPr>
      </w:pPr>
      <w:r w:rsidRPr="008832DF">
        <w:rPr>
          <w:rFonts w:ascii="Garamond" w:hAnsi="Garamond" w:cs="Times New Roman"/>
          <w:sz w:val="24"/>
          <w:szCs w:val="24"/>
        </w:rPr>
        <w:t xml:space="preserve">This statement ties in fully with the Open Government movement that was launched by Barack Obama in 2009 but can be traced back even earlier both in the United States and in other countries. This process is intended to go beyond mere transparency, by aiming to engage civil society in the legislative process – in other words, in the drafting of public policy. To do this, it is clearly necessary, as the Declaration states, to provide the public with greater access to parliamentary information. With this advance, we can see that the inclusion of parliamentary institutions among the public authorities holding public information or public documents is only a preliminary, but necessary, step in the process of Open Government. For any lasting commitment to this process, it is also important to work not only </w:t>
      </w:r>
      <w:r w:rsidR="00F04CD7" w:rsidRPr="008832DF">
        <w:rPr>
          <w:rFonts w:ascii="Garamond" w:hAnsi="Garamond" w:cs="Times New Roman"/>
          <w:sz w:val="24"/>
          <w:szCs w:val="24"/>
        </w:rPr>
        <w:t>towards</w:t>
      </w:r>
      <w:r w:rsidRPr="008832DF">
        <w:rPr>
          <w:rFonts w:ascii="Garamond" w:hAnsi="Garamond" w:cs="Times New Roman"/>
          <w:sz w:val="24"/>
          <w:szCs w:val="24"/>
        </w:rPr>
        <w:t xml:space="preserve"> greater access to information, but also </w:t>
      </w:r>
      <w:r w:rsidR="00F04CD7" w:rsidRPr="008832DF">
        <w:rPr>
          <w:rFonts w:ascii="Garamond" w:hAnsi="Garamond" w:cs="Times New Roman"/>
          <w:sz w:val="24"/>
          <w:szCs w:val="24"/>
        </w:rPr>
        <w:t>towards</w:t>
      </w:r>
      <w:r w:rsidRPr="008832DF">
        <w:rPr>
          <w:rFonts w:ascii="Garamond" w:hAnsi="Garamond" w:cs="Times New Roman"/>
          <w:sz w:val="24"/>
          <w:szCs w:val="24"/>
        </w:rPr>
        <w:t xml:space="preserve"> greater accessibility: information that is more intelligible, more complete and more up to date.</w:t>
      </w:r>
    </w:p>
    <w:p w14:paraId="4CFB5DBE" w14:textId="27C6FC38" w:rsidR="003C6801" w:rsidRPr="008832DF" w:rsidRDefault="00AE6CA3" w:rsidP="000B39D7">
      <w:pPr>
        <w:spacing w:after="0" w:line="240" w:lineRule="auto"/>
        <w:jc w:val="both"/>
      </w:pPr>
      <w:r w:rsidRPr="008832DF">
        <w:rPr>
          <w:rFonts w:ascii="Garamond" w:hAnsi="Garamond" w:cs="Times New Roman"/>
          <w:sz w:val="24"/>
          <w:szCs w:val="24"/>
        </w:rPr>
        <w:t xml:space="preserve">For the government bodies that hold public information, the requirement is, in a way, twofold. On the one hand, they must allow greater access to public information. They must therefore make public information available to citizens, and thereby expand its scope, by, among other things, recognizing a wider array of government organizations as potential sources of public information for citizens. On the other hand, it is important for those government bodies to facilitate this access by ensuring that the public can easily understand and use such documents and </w:t>
      </w:r>
      <w:r w:rsidRPr="008832DF">
        <w:rPr>
          <w:rFonts w:ascii="Garamond" w:hAnsi="Garamond" w:cs="Times New Roman"/>
          <w:sz w:val="24"/>
          <w:szCs w:val="24"/>
        </w:rPr>
        <w:lastRenderedPageBreak/>
        <w:t xml:space="preserve">information. </w:t>
      </w:r>
      <w:r w:rsidR="003C6801" w:rsidRPr="008832DF">
        <w:rPr>
          <w:rFonts w:ascii="Garamond" w:hAnsi="Garamond" w:cs="Times New Roman"/>
          <w:sz w:val="24"/>
          <w:szCs w:val="24"/>
        </w:rPr>
        <w:t xml:space="preserve">In 2005, </w:t>
      </w:r>
      <w:r w:rsidR="003C6801" w:rsidRPr="008832DF">
        <w:rPr>
          <w:rFonts w:ascii="Garamond" w:hAnsi="Garamond"/>
          <w:sz w:val="24"/>
          <w:szCs w:val="24"/>
        </w:rPr>
        <w:t xml:space="preserve">some freedom of information activists celebrate an International Right to Know Day during which they adopted ‘10 Principles on the Right to Know’. </w:t>
      </w:r>
      <w:r w:rsidR="006F3668" w:rsidRPr="008832DF">
        <w:rPr>
          <w:rFonts w:ascii="Garamond" w:hAnsi="Garamond"/>
          <w:sz w:val="24"/>
          <w:szCs w:val="24"/>
        </w:rPr>
        <w:t xml:space="preserve">According to the </w:t>
      </w:r>
      <w:r w:rsidR="003C6801" w:rsidRPr="008832DF">
        <w:rPr>
          <w:rFonts w:ascii="Garamond" w:hAnsi="Garamond"/>
          <w:sz w:val="24"/>
          <w:szCs w:val="24"/>
        </w:rPr>
        <w:t>principle</w:t>
      </w:r>
      <w:r w:rsidR="00CB6176" w:rsidRPr="008832DF">
        <w:rPr>
          <w:rFonts w:ascii="Garamond" w:hAnsi="Garamond"/>
          <w:sz w:val="24"/>
          <w:szCs w:val="24"/>
        </w:rPr>
        <w:t> </w:t>
      </w:r>
      <w:r w:rsidR="006F3668" w:rsidRPr="008832DF">
        <w:rPr>
          <w:rFonts w:ascii="Garamond" w:hAnsi="Garamond"/>
          <w:sz w:val="24"/>
          <w:szCs w:val="24"/>
        </w:rPr>
        <w:t>9, “p</w:t>
      </w:r>
      <w:r w:rsidR="003C6801" w:rsidRPr="008832DF">
        <w:rPr>
          <w:rFonts w:ascii="Garamond" w:hAnsi="Garamond"/>
          <w:sz w:val="24"/>
          <w:szCs w:val="24"/>
        </w:rPr>
        <w:t>ublic bodies should proactively publish core information</w:t>
      </w:r>
      <w:r w:rsidR="006F3668" w:rsidRPr="008832DF">
        <w:rPr>
          <w:rFonts w:ascii="Garamond" w:hAnsi="Garamond"/>
          <w:sz w:val="24"/>
          <w:szCs w:val="24"/>
        </w:rPr>
        <w:t>”. This principle means that public information “</w:t>
      </w:r>
      <w:r w:rsidR="003C6801" w:rsidRPr="008832DF">
        <w:rPr>
          <w:rFonts w:ascii="Garamond" w:hAnsi="Garamond"/>
          <w:sz w:val="24"/>
          <w:szCs w:val="24"/>
        </w:rPr>
        <w:t>should be current, clear, and in plain language</w:t>
      </w:r>
      <w:r w:rsidR="006F3668" w:rsidRPr="008832DF">
        <w:rPr>
          <w:rFonts w:ascii="Garamond" w:hAnsi="Garamond"/>
          <w:sz w:val="24"/>
          <w:szCs w:val="24"/>
        </w:rPr>
        <w:t>”</w:t>
      </w:r>
      <w:r w:rsidR="003C6801" w:rsidRPr="008832DF">
        <w:rPr>
          <w:rFonts w:ascii="Garamond" w:hAnsi="Garamond"/>
          <w:sz w:val="24"/>
          <w:szCs w:val="24"/>
        </w:rPr>
        <w:t>.</w:t>
      </w:r>
      <w:r w:rsidR="006F3668" w:rsidRPr="008832DF">
        <w:rPr>
          <w:rStyle w:val="Appelnotedebasdep"/>
          <w:rFonts w:ascii="Garamond" w:hAnsi="Garamond"/>
          <w:sz w:val="24"/>
          <w:szCs w:val="24"/>
        </w:rPr>
        <w:footnoteReference w:id="17"/>
      </w:r>
    </w:p>
    <w:p w14:paraId="1FA9E4DD" w14:textId="220D139E" w:rsidR="00AE6CA3" w:rsidRPr="008832DF" w:rsidRDefault="006F3668" w:rsidP="000B39D7">
      <w:pPr>
        <w:spacing w:after="0" w:line="240" w:lineRule="auto"/>
        <w:jc w:val="both"/>
        <w:rPr>
          <w:rFonts w:ascii="Garamond" w:hAnsi="Garamond" w:cs="Times New Roman"/>
          <w:sz w:val="24"/>
          <w:szCs w:val="24"/>
        </w:rPr>
      </w:pPr>
      <w:r w:rsidRPr="008832DF">
        <w:rPr>
          <w:rFonts w:ascii="Garamond" w:hAnsi="Garamond" w:cs="Times New Roman"/>
          <w:sz w:val="24"/>
          <w:szCs w:val="24"/>
        </w:rPr>
        <w:t>A</w:t>
      </w:r>
      <w:r w:rsidR="00AE6CA3" w:rsidRPr="008832DF">
        <w:rPr>
          <w:rFonts w:ascii="Garamond" w:hAnsi="Garamond" w:cs="Times New Roman"/>
          <w:sz w:val="24"/>
          <w:szCs w:val="24"/>
        </w:rPr>
        <w:t xml:space="preserve">mbitious, </w:t>
      </w:r>
      <w:r w:rsidRPr="008832DF">
        <w:rPr>
          <w:rFonts w:ascii="Garamond" w:hAnsi="Garamond" w:cs="Times New Roman"/>
          <w:sz w:val="24"/>
          <w:szCs w:val="24"/>
        </w:rPr>
        <w:t xml:space="preserve">the </w:t>
      </w:r>
      <w:r w:rsidR="00AE6CA3" w:rsidRPr="008832DF">
        <w:rPr>
          <w:rFonts w:ascii="Garamond" w:hAnsi="Garamond" w:cs="Times New Roman"/>
          <w:sz w:val="24"/>
          <w:szCs w:val="24"/>
        </w:rPr>
        <w:t xml:space="preserve">requirement </w:t>
      </w:r>
      <w:r w:rsidRPr="008832DF">
        <w:rPr>
          <w:rFonts w:ascii="Garamond" w:hAnsi="Garamond" w:cs="Times New Roman"/>
          <w:sz w:val="24"/>
          <w:szCs w:val="24"/>
        </w:rPr>
        <w:t xml:space="preserve">to make the public information understandable </w:t>
      </w:r>
      <w:r w:rsidR="00AE6CA3" w:rsidRPr="008832DF">
        <w:rPr>
          <w:rFonts w:ascii="Garamond" w:hAnsi="Garamond" w:cs="Times New Roman"/>
          <w:sz w:val="24"/>
          <w:szCs w:val="24"/>
        </w:rPr>
        <w:t xml:space="preserve">lends meaning to the desire for transparency enshrined as the first aim of the Open Government process. If the transparency that results from broader public access to government information does not lead to greater public participation in the legislative process, its usefulness is negligible, and even counterproductive. This reduces transparency to a mere formality, namely the need for governments to provide the public with information that the latter cannot necessarily </w:t>
      </w:r>
      <w:r w:rsidR="00C91529" w:rsidRPr="008832DF">
        <w:rPr>
          <w:rFonts w:ascii="Garamond" w:hAnsi="Garamond" w:cs="Times New Roman"/>
          <w:sz w:val="24"/>
          <w:szCs w:val="24"/>
        </w:rPr>
        <w:t>understand and use</w:t>
      </w:r>
      <w:r w:rsidR="00AE6CA3" w:rsidRPr="008832DF">
        <w:rPr>
          <w:rFonts w:ascii="Garamond" w:hAnsi="Garamond" w:cs="Times New Roman"/>
          <w:sz w:val="24"/>
          <w:szCs w:val="24"/>
        </w:rPr>
        <w:t>. Transparency is then no longer a vehicle for democracy; it becomes, rather, a tool for authoritarian regimes to wield as they wish.</w:t>
      </w:r>
    </w:p>
    <w:p w14:paraId="53BDB053" w14:textId="36B82F25" w:rsidR="00AE6CA3" w:rsidRPr="008832DF" w:rsidRDefault="00AE6CA3" w:rsidP="000B39D7">
      <w:pPr>
        <w:spacing w:line="240" w:lineRule="auto"/>
        <w:jc w:val="both"/>
        <w:rPr>
          <w:rFonts w:ascii="Garamond" w:hAnsi="Garamond" w:cs="Times New Roman"/>
          <w:sz w:val="24"/>
          <w:szCs w:val="24"/>
        </w:rPr>
      </w:pPr>
      <w:r w:rsidRPr="008832DF">
        <w:rPr>
          <w:rFonts w:ascii="Garamond" w:hAnsi="Garamond" w:cs="Times New Roman"/>
          <w:sz w:val="24"/>
          <w:szCs w:val="24"/>
        </w:rPr>
        <w:t>If, on the contrary, transparency is meant truly to allow the public to engage in the legislative process, it must meet the criteria cited above regarding the quality of the information made access</w:t>
      </w:r>
      <w:r w:rsidR="00C91529" w:rsidRPr="008832DF">
        <w:rPr>
          <w:rFonts w:ascii="Garamond" w:hAnsi="Garamond" w:cs="Times New Roman"/>
          <w:sz w:val="24"/>
          <w:szCs w:val="24"/>
        </w:rPr>
        <w:t>ible to the public, and it must</w:t>
      </w:r>
      <w:r w:rsidRPr="008832DF">
        <w:rPr>
          <w:rFonts w:ascii="Garamond" w:hAnsi="Garamond" w:cs="Times New Roman"/>
          <w:sz w:val="24"/>
          <w:szCs w:val="24"/>
        </w:rPr>
        <w:t xml:space="preserve"> seamlessly into the process for the development of democracy. All of this leads to a new organization of governmental authority, whose purpose is to restore to citizens the public information that was previously held by governments. Open Government is part of this movement. For their part, government bodies have the task of implementing this process of opening up public information. As a result, they bear greater responsibility in this area, as shown in the aforementioned international texts.</w:t>
      </w:r>
    </w:p>
    <w:p w14:paraId="2F224947" w14:textId="358F0A22" w:rsidR="004D4FBE" w:rsidRPr="008832DF" w:rsidRDefault="001D1EEF" w:rsidP="000B39D7">
      <w:pPr>
        <w:pStyle w:val="Titre1"/>
      </w:pPr>
      <w:r w:rsidRPr="008832DF">
        <w:t>§</w:t>
      </w:r>
      <w:r w:rsidR="00CB6176" w:rsidRPr="008832DF">
        <w:t> </w:t>
      </w:r>
      <w:r w:rsidRPr="008832DF">
        <w:t xml:space="preserve">2 – Promoting a Broader Right of Access to Public Information Thanks to a Broad </w:t>
      </w:r>
      <w:r w:rsidR="009F4405" w:rsidRPr="008832DF">
        <w:t>I</w:t>
      </w:r>
      <w:r w:rsidR="004D4FBE" w:rsidRPr="008832DF">
        <w:t xml:space="preserve">nterpretation of the </w:t>
      </w:r>
      <w:r w:rsidR="009F4405" w:rsidRPr="008832DF">
        <w:t>C</w:t>
      </w:r>
      <w:r w:rsidR="004D4FBE" w:rsidRPr="008832DF">
        <w:t xml:space="preserve">oncept of </w:t>
      </w:r>
      <w:r w:rsidR="009F4405" w:rsidRPr="008832DF">
        <w:t>P</w:t>
      </w:r>
      <w:r w:rsidR="004D4FBE" w:rsidRPr="008832DF">
        <w:t xml:space="preserve">ublic </w:t>
      </w:r>
      <w:r w:rsidR="009F4405" w:rsidRPr="008832DF">
        <w:t>I</w:t>
      </w:r>
      <w:r w:rsidR="004D4FBE" w:rsidRPr="008832DF">
        <w:t>nformation</w:t>
      </w:r>
    </w:p>
    <w:p w14:paraId="5161FC90" w14:textId="77777777" w:rsidR="004D4FBE" w:rsidRPr="008832DF" w:rsidRDefault="004D4FBE" w:rsidP="000B39D7">
      <w:pPr>
        <w:spacing w:after="0" w:line="240" w:lineRule="auto"/>
        <w:jc w:val="both"/>
        <w:rPr>
          <w:rFonts w:ascii="Garamond" w:hAnsi="Garamond" w:cs="Times New Roman"/>
          <w:sz w:val="24"/>
          <w:szCs w:val="24"/>
        </w:rPr>
      </w:pPr>
      <w:r w:rsidRPr="008832DF">
        <w:rPr>
          <w:rFonts w:ascii="Garamond" w:hAnsi="Garamond" w:cs="Times New Roman"/>
          <w:sz w:val="24"/>
          <w:szCs w:val="24"/>
        </w:rPr>
        <w:t xml:space="preserve">The logic we have just applied to the notion of </w:t>
      </w:r>
      <w:r w:rsidR="00FE6DDF" w:rsidRPr="008832DF">
        <w:rPr>
          <w:rFonts w:ascii="Garamond" w:hAnsi="Garamond" w:cs="Times New Roman"/>
          <w:sz w:val="24"/>
          <w:szCs w:val="24"/>
        </w:rPr>
        <w:t>government bodies</w:t>
      </w:r>
      <w:r w:rsidRPr="008832DF">
        <w:rPr>
          <w:rFonts w:ascii="Garamond" w:hAnsi="Garamond" w:cs="Times New Roman"/>
          <w:sz w:val="24"/>
          <w:szCs w:val="24"/>
        </w:rPr>
        <w:t xml:space="preserve"> may also be </w:t>
      </w:r>
      <w:r w:rsidR="00FE6DDF" w:rsidRPr="008832DF">
        <w:rPr>
          <w:rFonts w:ascii="Garamond" w:hAnsi="Garamond" w:cs="Times New Roman"/>
          <w:sz w:val="24"/>
          <w:szCs w:val="24"/>
        </w:rPr>
        <w:t>used when defining</w:t>
      </w:r>
      <w:r w:rsidRPr="008832DF">
        <w:rPr>
          <w:rFonts w:ascii="Garamond" w:hAnsi="Garamond" w:cs="Times New Roman"/>
          <w:sz w:val="24"/>
          <w:szCs w:val="24"/>
        </w:rPr>
        <w:t xml:space="preserve"> public documents, or more broadly, public information. This is the corollary to the definition of </w:t>
      </w:r>
      <w:r w:rsidR="00FE6DDF" w:rsidRPr="008832DF">
        <w:rPr>
          <w:rFonts w:ascii="Garamond" w:hAnsi="Garamond" w:cs="Times New Roman"/>
          <w:sz w:val="24"/>
          <w:szCs w:val="24"/>
        </w:rPr>
        <w:t>government bodies</w:t>
      </w:r>
      <w:r w:rsidRPr="008832DF">
        <w:rPr>
          <w:rFonts w:ascii="Garamond" w:hAnsi="Garamond" w:cs="Times New Roman"/>
          <w:sz w:val="24"/>
          <w:szCs w:val="24"/>
        </w:rPr>
        <w:t>, since it is they who hold the public information to which citizens want access. This growing demand presents many challenges in the era of the information society</w:t>
      </w:r>
      <w:r w:rsidR="00FE6DDF" w:rsidRPr="008832DF">
        <w:rPr>
          <w:rFonts w:ascii="Garamond" w:hAnsi="Garamond" w:cs="Times New Roman"/>
          <w:sz w:val="24"/>
          <w:szCs w:val="24"/>
        </w:rPr>
        <w:t>, so the concept must be properly grasped.</w:t>
      </w:r>
    </w:p>
    <w:p w14:paraId="36481357" w14:textId="3C410EBA" w:rsidR="00F408D8" w:rsidRPr="008832DF" w:rsidRDefault="004D4FBE" w:rsidP="000B39D7">
      <w:pPr>
        <w:spacing w:after="0" w:line="240" w:lineRule="auto"/>
        <w:jc w:val="both"/>
        <w:rPr>
          <w:rFonts w:ascii="Garamond" w:hAnsi="Garamond" w:cs="Times New Roman"/>
          <w:sz w:val="24"/>
          <w:szCs w:val="24"/>
        </w:rPr>
      </w:pPr>
      <w:r w:rsidRPr="008832DF">
        <w:rPr>
          <w:rFonts w:ascii="Garamond" w:hAnsi="Garamond" w:cs="Times New Roman"/>
          <w:sz w:val="24"/>
          <w:szCs w:val="24"/>
        </w:rPr>
        <w:t xml:space="preserve">The international texts </w:t>
      </w:r>
      <w:r w:rsidR="00FE6DDF" w:rsidRPr="008832DF">
        <w:rPr>
          <w:rFonts w:ascii="Garamond" w:hAnsi="Garamond" w:cs="Times New Roman"/>
          <w:sz w:val="24"/>
          <w:szCs w:val="24"/>
        </w:rPr>
        <w:t>on which</w:t>
      </w:r>
      <w:r w:rsidRPr="008832DF">
        <w:rPr>
          <w:rFonts w:ascii="Garamond" w:hAnsi="Garamond" w:cs="Times New Roman"/>
          <w:sz w:val="24"/>
          <w:szCs w:val="24"/>
        </w:rPr>
        <w:t xml:space="preserve"> this analysis </w:t>
      </w:r>
      <w:r w:rsidR="00FE6DDF" w:rsidRPr="008832DF">
        <w:rPr>
          <w:rFonts w:ascii="Garamond" w:hAnsi="Garamond" w:cs="Times New Roman"/>
          <w:sz w:val="24"/>
          <w:szCs w:val="24"/>
        </w:rPr>
        <w:t xml:space="preserve">is based </w:t>
      </w:r>
      <w:r w:rsidRPr="008832DF">
        <w:rPr>
          <w:rFonts w:ascii="Garamond" w:hAnsi="Garamond" w:cs="Times New Roman"/>
          <w:sz w:val="24"/>
          <w:szCs w:val="24"/>
        </w:rPr>
        <w:t xml:space="preserve">give an increasingly broad definition </w:t>
      </w:r>
      <w:r w:rsidR="00F04CD7" w:rsidRPr="008832DF">
        <w:rPr>
          <w:rFonts w:ascii="Garamond" w:hAnsi="Garamond" w:cs="Times New Roman"/>
          <w:sz w:val="24"/>
          <w:szCs w:val="24"/>
        </w:rPr>
        <w:t>of</w:t>
      </w:r>
      <w:r w:rsidRPr="008832DF">
        <w:rPr>
          <w:rFonts w:ascii="Garamond" w:hAnsi="Garamond" w:cs="Times New Roman"/>
          <w:sz w:val="24"/>
          <w:szCs w:val="24"/>
        </w:rPr>
        <w:t xml:space="preserve"> public information. The Aarhus Convention, which mainly concerns documents relating to the environment, </w:t>
      </w:r>
      <w:r w:rsidR="00FE6DDF" w:rsidRPr="008832DF">
        <w:rPr>
          <w:rFonts w:ascii="Garamond" w:hAnsi="Garamond" w:cs="Times New Roman"/>
          <w:sz w:val="24"/>
          <w:szCs w:val="24"/>
        </w:rPr>
        <w:t>is consistent with this trend</w:t>
      </w:r>
      <w:r w:rsidRPr="008832DF">
        <w:rPr>
          <w:rFonts w:ascii="Garamond" w:hAnsi="Garamond" w:cs="Times New Roman"/>
          <w:sz w:val="24"/>
          <w:szCs w:val="24"/>
        </w:rPr>
        <w:t>.</w:t>
      </w:r>
      <w:r w:rsidR="00F408D8" w:rsidRPr="008832DF">
        <w:rPr>
          <w:rFonts w:ascii="Garamond" w:hAnsi="Garamond" w:cs="Times New Roman"/>
          <w:sz w:val="24"/>
          <w:szCs w:val="24"/>
        </w:rPr>
        <w:t xml:space="preserve"> This text refers to </w:t>
      </w:r>
      <w:r w:rsidR="00F04CD7" w:rsidRPr="008832DF">
        <w:rPr>
          <w:rFonts w:ascii="Garamond" w:hAnsi="Garamond" w:cs="Times New Roman"/>
          <w:sz w:val="24"/>
          <w:szCs w:val="24"/>
        </w:rPr>
        <w:t>“</w:t>
      </w:r>
      <w:r w:rsidR="00F408D8" w:rsidRPr="008832DF">
        <w:rPr>
          <w:rFonts w:ascii="Garamond" w:hAnsi="Garamond" w:cs="Times New Roman"/>
          <w:sz w:val="24"/>
          <w:szCs w:val="24"/>
        </w:rPr>
        <w:t xml:space="preserve">any </w:t>
      </w:r>
      <w:r w:rsidR="00F408D8" w:rsidRPr="008832DF">
        <w:rPr>
          <w:rFonts w:ascii="Garamond" w:hAnsi="Garamond" w:cs="Times New Roman"/>
          <w:sz w:val="24"/>
          <w:szCs w:val="24"/>
        </w:rPr>
        <w:lastRenderedPageBreak/>
        <w:t>information in written, visual, aural, electronic or any other material form</w:t>
      </w:r>
      <w:r w:rsidR="00F04CD7" w:rsidRPr="008832DF">
        <w:rPr>
          <w:rFonts w:ascii="Garamond" w:hAnsi="Garamond" w:cs="Times New Roman"/>
          <w:sz w:val="24"/>
          <w:szCs w:val="24"/>
        </w:rPr>
        <w:t>”.</w:t>
      </w:r>
      <w:r w:rsidR="007E6EDF" w:rsidRPr="008832DF">
        <w:rPr>
          <w:rStyle w:val="Appelnotedebasdep"/>
          <w:rFonts w:ascii="Garamond" w:hAnsi="Garamond" w:cs="Times New Roman"/>
          <w:sz w:val="24"/>
          <w:szCs w:val="24"/>
        </w:rPr>
        <w:footnoteReference w:id="18"/>
      </w:r>
    </w:p>
    <w:p w14:paraId="069B4FE0" w14:textId="2B330A45" w:rsidR="00F408D8" w:rsidRPr="008832DF" w:rsidRDefault="004D4FBE" w:rsidP="000B39D7">
      <w:pPr>
        <w:spacing w:after="0" w:line="240" w:lineRule="auto"/>
        <w:jc w:val="both"/>
        <w:rPr>
          <w:rFonts w:ascii="Garamond" w:hAnsi="Garamond" w:cs="Times New Roman"/>
          <w:sz w:val="24"/>
          <w:szCs w:val="24"/>
        </w:rPr>
      </w:pPr>
      <w:r w:rsidRPr="008832DF">
        <w:rPr>
          <w:rFonts w:ascii="Garamond" w:hAnsi="Garamond" w:cs="Times New Roman"/>
          <w:sz w:val="24"/>
          <w:szCs w:val="24"/>
        </w:rPr>
        <w:t>The Council of Europe Convention concerns more general access to public documents that go beyond information on the environment.</w:t>
      </w:r>
      <w:r w:rsidR="00F408D8" w:rsidRPr="008832DF">
        <w:rPr>
          <w:rFonts w:ascii="Garamond" w:hAnsi="Garamond" w:cs="Times New Roman"/>
          <w:sz w:val="24"/>
          <w:szCs w:val="24"/>
        </w:rPr>
        <w:t xml:space="preserve"> Indeed, the definition of public documents given by this text includes </w:t>
      </w:r>
      <w:r w:rsidR="00F04CD7" w:rsidRPr="008832DF">
        <w:rPr>
          <w:rFonts w:ascii="Garamond" w:hAnsi="Garamond" w:cs="Times New Roman"/>
          <w:sz w:val="24"/>
          <w:szCs w:val="24"/>
        </w:rPr>
        <w:t>“</w:t>
      </w:r>
      <w:r w:rsidR="00F408D8" w:rsidRPr="008832DF">
        <w:rPr>
          <w:rFonts w:ascii="Garamond" w:hAnsi="Garamond" w:cs="Times New Roman"/>
          <w:sz w:val="24"/>
          <w:szCs w:val="24"/>
        </w:rPr>
        <w:t>official documents means all information recorded in any form, drawn up or received and held by public authorities</w:t>
      </w:r>
      <w:r w:rsidR="00F04CD7" w:rsidRPr="008832DF">
        <w:rPr>
          <w:rFonts w:ascii="Garamond" w:hAnsi="Garamond" w:cs="Times New Roman"/>
          <w:sz w:val="24"/>
          <w:szCs w:val="24"/>
        </w:rPr>
        <w:t>”.</w:t>
      </w:r>
      <w:r w:rsidR="00F408D8" w:rsidRPr="008832DF">
        <w:rPr>
          <w:rStyle w:val="Appelnotedebasdep"/>
          <w:rFonts w:ascii="Garamond" w:hAnsi="Garamond" w:cs="Times New Roman"/>
          <w:sz w:val="24"/>
          <w:szCs w:val="24"/>
        </w:rPr>
        <w:footnoteReference w:id="19"/>
      </w:r>
      <w:r w:rsidR="00F408D8" w:rsidRPr="008832DF">
        <w:rPr>
          <w:rFonts w:ascii="Garamond" w:hAnsi="Garamond" w:cs="Times New Roman"/>
          <w:sz w:val="24"/>
          <w:szCs w:val="24"/>
        </w:rPr>
        <w:t xml:space="preserve"> </w:t>
      </w:r>
    </w:p>
    <w:p w14:paraId="10EC4FA4" w14:textId="6F6E0596" w:rsidR="00994CA1" w:rsidRPr="008832DF" w:rsidRDefault="004D4FBE" w:rsidP="000B39D7">
      <w:pPr>
        <w:spacing w:after="0" w:line="240" w:lineRule="auto"/>
        <w:jc w:val="both"/>
        <w:rPr>
          <w:rFonts w:ascii="Garamond" w:hAnsi="Garamond" w:cs="Times New Roman"/>
          <w:sz w:val="24"/>
          <w:szCs w:val="24"/>
        </w:rPr>
      </w:pPr>
      <w:r w:rsidRPr="008832DF">
        <w:rPr>
          <w:rFonts w:ascii="Garamond" w:hAnsi="Garamond" w:cs="Times New Roman"/>
          <w:sz w:val="24"/>
          <w:szCs w:val="24"/>
        </w:rPr>
        <w:t xml:space="preserve">The definitions given in these texts are supported by a number of ideas and principles that </w:t>
      </w:r>
      <w:r w:rsidR="00FE6DDF" w:rsidRPr="008832DF">
        <w:rPr>
          <w:rFonts w:ascii="Garamond" w:hAnsi="Garamond" w:cs="Times New Roman"/>
          <w:sz w:val="24"/>
          <w:szCs w:val="24"/>
        </w:rPr>
        <w:t>help to reinforce</w:t>
      </w:r>
      <w:r w:rsidRPr="008832DF">
        <w:rPr>
          <w:rFonts w:ascii="Garamond" w:hAnsi="Garamond" w:cs="Times New Roman"/>
          <w:sz w:val="24"/>
          <w:szCs w:val="24"/>
        </w:rPr>
        <w:t xml:space="preserve"> the right of access to </w:t>
      </w:r>
      <w:r w:rsidRPr="00624BE6">
        <w:rPr>
          <w:rFonts w:ascii="Garamond" w:hAnsi="Garamond" w:cs="Times New Roman"/>
          <w:spacing w:val="-2"/>
          <w:sz w:val="24"/>
          <w:szCs w:val="24"/>
        </w:rPr>
        <w:t xml:space="preserve">public information. In this </w:t>
      </w:r>
      <w:r w:rsidR="00FE6DDF" w:rsidRPr="00624BE6">
        <w:rPr>
          <w:rFonts w:ascii="Garamond" w:hAnsi="Garamond" w:cs="Times New Roman"/>
          <w:spacing w:val="-2"/>
          <w:sz w:val="24"/>
          <w:szCs w:val="24"/>
        </w:rPr>
        <w:t>regard</w:t>
      </w:r>
      <w:r w:rsidRPr="00624BE6">
        <w:rPr>
          <w:rFonts w:ascii="Garamond" w:hAnsi="Garamond" w:cs="Times New Roman"/>
          <w:spacing w:val="-2"/>
          <w:sz w:val="24"/>
          <w:szCs w:val="24"/>
        </w:rPr>
        <w:t>, the aforementioned international texts suggest significant advances. In its preamble, the</w:t>
      </w:r>
      <w:r w:rsidRPr="008832DF">
        <w:rPr>
          <w:rFonts w:ascii="Garamond" w:hAnsi="Garamond" w:cs="Times New Roman"/>
          <w:sz w:val="24"/>
          <w:szCs w:val="24"/>
        </w:rPr>
        <w:t xml:space="preserve"> Council of Europe Convention highlights a key idea, explicitly linking the right of access to public documents </w:t>
      </w:r>
      <w:r w:rsidR="00FE6DDF" w:rsidRPr="008832DF">
        <w:rPr>
          <w:rFonts w:ascii="Garamond" w:hAnsi="Garamond" w:cs="Times New Roman"/>
          <w:sz w:val="24"/>
          <w:szCs w:val="24"/>
        </w:rPr>
        <w:t xml:space="preserve">to a </w:t>
      </w:r>
      <w:r w:rsidRPr="008832DF">
        <w:rPr>
          <w:rFonts w:ascii="Garamond" w:hAnsi="Garamond" w:cs="Times New Roman"/>
          <w:sz w:val="24"/>
          <w:szCs w:val="24"/>
        </w:rPr>
        <w:t>right to information</w:t>
      </w:r>
      <w:r w:rsidR="00FE6DDF" w:rsidRPr="008832DF">
        <w:rPr>
          <w:rFonts w:ascii="Garamond" w:hAnsi="Garamond" w:cs="Times New Roman"/>
          <w:sz w:val="24"/>
          <w:szCs w:val="24"/>
        </w:rPr>
        <w:t>,</w:t>
      </w:r>
      <w:r w:rsidRPr="008832DF">
        <w:rPr>
          <w:rFonts w:ascii="Garamond" w:hAnsi="Garamond" w:cs="Times New Roman"/>
          <w:sz w:val="24"/>
          <w:szCs w:val="24"/>
        </w:rPr>
        <w:t xml:space="preserve"> on which democracy is founded.</w:t>
      </w:r>
      <w:r w:rsidR="00994CA1" w:rsidRPr="008832DF">
        <w:rPr>
          <w:rFonts w:ascii="Garamond" w:hAnsi="Garamond" w:cs="Times New Roman"/>
          <w:sz w:val="24"/>
          <w:szCs w:val="24"/>
        </w:rPr>
        <w:t xml:space="preserve"> Th</w:t>
      </w:r>
      <w:r w:rsidR="00F04CD7" w:rsidRPr="008832DF">
        <w:rPr>
          <w:rFonts w:ascii="Garamond" w:hAnsi="Garamond" w:cs="Times New Roman"/>
          <w:sz w:val="24"/>
          <w:szCs w:val="24"/>
        </w:rPr>
        <w:t>is</w:t>
      </w:r>
      <w:r w:rsidR="00994CA1" w:rsidRPr="008832DF">
        <w:rPr>
          <w:rFonts w:ascii="Garamond" w:hAnsi="Garamond" w:cs="Times New Roman"/>
          <w:sz w:val="24"/>
          <w:szCs w:val="24"/>
        </w:rPr>
        <w:t xml:space="preserve"> text highlights that </w:t>
      </w:r>
      <w:r w:rsidR="00F04CD7" w:rsidRPr="008832DF">
        <w:rPr>
          <w:rFonts w:ascii="Garamond" w:hAnsi="Garamond" w:cs="Times New Roman"/>
          <w:sz w:val="24"/>
          <w:szCs w:val="24"/>
        </w:rPr>
        <w:t>“</w:t>
      </w:r>
      <w:r w:rsidR="00994CA1" w:rsidRPr="008832DF">
        <w:rPr>
          <w:rFonts w:ascii="Garamond" w:hAnsi="Garamond" w:cs="Times New Roman"/>
          <w:sz w:val="24"/>
          <w:szCs w:val="24"/>
        </w:rPr>
        <w:t>the right to access to official documents provides a source of information for the public and helps the public to form an opinion on the state of society and on public authorities</w:t>
      </w:r>
      <w:r w:rsidR="00F04CD7" w:rsidRPr="008832DF">
        <w:rPr>
          <w:rFonts w:ascii="Garamond" w:hAnsi="Garamond" w:cs="Times New Roman"/>
          <w:sz w:val="24"/>
          <w:szCs w:val="24"/>
        </w:rPr>
        <w:t>”.</w:t>
      </w:r>
      <w:r w:rsidR="008E7EF2" w:rsidRPr="008832DF">
        <w:rPr>
          <w:rStyle w:val="Appelnotedebasdep"/>
          <w:rFonts w:ascii="Garamond" w:hAnsi="Garamond" w:cs="Times New Roman"/>
          <w:sz w:val="24"/>
          <w:szCs w:val="24"/>
        </w:rPr>
        <w:footnoteReference w:id="20"/>
      </w:r>
      <w:r w:rsidR="00994CA1" w:rsidRPr="008832DF">
        <w:rPr>
          <w:rFonts w:ascii="Garamond" w:hAnsi="Garamond" w:cs="Times New Roman"/>
          <w:sz w:val="24"/>
          <w:szCs w:val="24"/>
          <w:highlight w:val="yellow"/>
        </w:rPr>
        <w:t xml:space="preserve"> </w:t>
      </w:r>
    </w:p>
    <w:p w14:paraId="3CC37E11" w14:textId="6B1B5F05" w:rsidR="004D4FBE" w:rsidRPr="008832DF" w:rsidRDefault="004D4FBE" w:rsidP="000B39D7">
      <w:pPr>
        <w:spacing w:after="0" w:line="240" w:lineRule="auto"/>
        <w:jc w:val="both"/>
        <w:rPr>
          <w:rFonts w:ascii="Garamond" w:hAnsi="Garamond" w:cs="Times New Roman"/>
          <w:sz w:val="24"/>
          <w:szCs w:val="24"/>
        </w:rPr>
      </w:pPr>
      <w:r w:rsidRPr="008832DF">
        <w:rPr>
          <w:rFonts w:ascii="Garamond" w:hAnsi="Garamond" w:cs="Times New Roman"/>
          <w:sz w:val="24"/>
          <w:szCs w:val="24"/>
        </w:rPr>
        <w:t>The Declaration on Parliamentary Openness takes the same viewpoint</w:t>
      </w:r>
      <w:r w:rsidR="00FE6DDF" w:rsidRPr="008832DF">
        <w:rPr>
          <w:rFonts w:ascii="Garamond" w:hAnsi="Garamond" w:cs="Times New Roman"/>
          <w:sz w:val="24"/>
          <w:szCs w:val="24"/>
        </w:rPr>
        <w:t>, calling on</w:t>
      </w:r>
      <w:r w:rsidRPr="008832DF">
        <w:rPr>
          <w:rFonts w:ascii="Garamond" w:hAnsi="Garamond" w:cs="Times New Roman"/>
          <w:sz w:val="24"/>
          <w:szCs w:val="24"/>
        </w:rPr>
        <w:t xml:space="preserve"> Parliament to foster an environment that </w:t>
      </w:r>
      <w:r w:rsidRPr="00624BE6">
        <w:rPr>
          <w:rFonts w:ascii="Garamond" w:hAnsi="Garamond" w:cs="Times New Roman"/>
          <w:spacing w:val="-4"/>
          <w:sz w:val="24"/>
          <w:szCs w:val="24"/>
        </w:rPr>
        <w:t>guarantees to the public the right to governmental and parliamentary information</w:t>
      </w:r>
      <w:r w:rsidR="004526CD" w:rsidRPr="00624BE6">
        <w:rPr>
          <w:rFonts w:ascii="Garamond" w:hAnsi="Garamond" w:cs="Times New Roman"/>
          <w:spacing w:val="-4"/>
          <w:sz w:val="24"/>
          <w:szCs w:val="24"/>
        </w:rPr>
        <w:t xml:space="preserve">. </w:t>
      </w:r>
      <w:r w:rsidR="00B6709C" w:rsidRPr="00624BE6">
        <w:rPr>
          <w:rFonts w:ascii="Garamond" w:hAnsi="Garamond" w:cs="Times New Roman"/>
          <w:spacing w:val="-4"/>
          <w:sz w:val="24"/>
          <w:szCs w:val="24"/>
        </w:rPr>
        <w:t xml:space="preserve">This Declaration states that </w:t>
      </w:r>
      <w:r w:rsidR="00F04CD7" w:rsidRPr="00624BE6">
        <w:rPr>
          <w:rFonts w:ascii="Garamond" w:hAnsi="Garamond" w:cs="Times New Roman"/>
          <w:spacing w:val="-4"/>
          <w:sz w:val="24"/>
          <w:szCs w:val="24"/>
        </w:rPr>
        <w:t>“</w:t>
      </w:r>
      <w:r w:rsidR="00B6709C" w:rsidRPr="00624BE6">
        <w:rPr>
          <w:rFonts w:ascii="Garamond" w:hAnsi="Garamond" w:cs="Times New Roman"/>
          <w:spacing w:val="-4"/>
          <w:sz w:val="24"/>
          <w:szCs w:val="24"/>
        </w:rPr>
        <w:t>parliamentary information belongs to the public</w:t>
      </w:r>
      <w:r w:rsidR="00F04CD7" w:rsidRPr="00624BE6">
        <w:rPr>
          <w:rFonts w:ascii="Garamond" w:hAnsi="Garamond" w:cs="Times New Roman"/>
          <w:spacing w:val="-4"/>
          <w:sz w:val="24"/>
          <w:szCs w:val="24"/>
        </w:rPr>
        <w:t>”.</w:t>
      </w:r>
      <w:r w:rsidR="00B6709C" w:rsidRPr="00624BE6">
        <w:rPr>
          <w:rStyle w:val="Appelnotedebasdep"/>
          <w:rFonts w:ascii="Garamond" w:hAnsi="Garamond" w:cs="Times New Roman"/>
          <w:spacing w:val="-4"/>
          <w:sz w:val="24"/>
          <w:szCs w:val="24"/>
        </w:rPr>
        <w:footnoteReference w:id="21"/>
      </w:r>
      <w:r w:rsidR="00F04CD7" w:rsidRPr="00624BE6">
        <w:rPr>
          <w:rFonts w:ascii="Garamond" w:hAnsi="Garamond" w:cs="Times New Roman"/>
          <w:spacing w:val="-4"/>
          <w:sz w:val="24"/>
          <w:szCs w:val="24"/>
        </w:rPr>
        <w:t xml:space="preserve"> </w:t>
      </w:r>
      <w:r w:rsidR="004526CD" w:rsidRPr="00624BE6">
        <w:rPr>
          <w:rFonts w:ascii="Garamond" w:hAnsi="Garamond" w:cs="Times New Roman"/>
          <w:spacing w:val="-4"/>
          <w:sz w:val="24"/>
          <w:szCs w:val="24"/>
        </w:rPr>
        <w:t xml:space="preserve">The aim is clearly to </w:t>
      </w:r>
      <w:r w:rsidRPr="00624BE6">
        <w:rPr>
          <w:rFonts w:ascii="Garamond" w:hAnsi="Garamond" w:cs="Times New Roman"/>
          <w:spacing w:val="-4"/>
          <w:sz w:val="24"/>
          <w:szCs w:val="24"/>
        </w:rPr>
        <w:t>promote</w:t>
      </w:r>
      <w:r w:rsidRPr="008832DF">
        <w:rPr>
          <w:rFonts w:ascii="Garamond" w:hAnsi="Garamond" w:cs="Times New Roman"/>
          <w:sz w:val="24"/>
          <w:szCs w:val="24"/>
        </w:rPr>
        <w:t xml:space="preserve"> a culture of </w:t>
      </w:r>
      <w:r w:rsidR="004526CD" w:rsidRPr="008832DF">
        <w:rPr>
          <w:rFonts w:ascii="Garamond" w:hAnsi="Garamond" w:cs="Times New Roman"/>
          <w:sz w:val="24"/>
          <w:szCs w:val="24"/>
        </w:rPr>
        <w:t xml:space="preserve">openness, and even a culture of </w:t>
      </w:r>
      <w:r w:rsidRPr="008832DF">
        <w:rPr>
          <w:rFonts w:ascii="Garamond" w:hAnsi="Garamond" w:cs="Times New Roman"/>
          <w:sz w:val="24"/>
          <w:szCs w:val="24"/>
        </w:rPr>
        <w:t>Open Government.</w:t>
      </w:r>
      <w:r w:rsidR="004526CD" w:rsidRPr="008832DF">
        <w:rPr>
          <w:rFonts w:ascii="Garamond" w:hAnsi="Garamond" w:cs="Times New Roman"/>
          <w:sz w:val="24"/>
          <w:szCs w:val="24"/>
        </w:rPr>
        <w:t xml:space="preserve"> </w:t>
      </w:r>
      <w:r w:rsidR="00B6709C" w:rsidRPr="008832DF">
        <w:rPr>
          <w:rFonts w:ascii="Garamond" w:hAnsi="Garamond" w:cs="Times New Roman"/>
          <w:sz w:val="24"/>
          <w:szCs w:val="24"/>
        </w:rPr>
        <w:t xml:space="preserve">In this regard, “the public’s right to information held by governing institutions </w:t>
      </w:r>
      <w:r w:rsidR="00F04CD7" w:rsidRPr="008832DF">
        <w:rPr>
          <w:rFonts w:ascii="Garamond" w:hAnsi="Garamond" w:cs="Times New Roman"/>
          <w:sz w:val="24"/>
          <w:szCs w:val="24"/>
        </w:rPr>
        <w:t>[</w:t>
      </w:r>
      <w:r w:rsidR="00B6709C" w:rsidRPr="008832DF">
        <w:rPr>
          <w:rFonts w:ascii="Garamond" w:hAnsi="Garamond" w:cs="Times New Roman"/>
          <w:sz w:val="24"/>
          <w:szCs w:val="24"/>
        </w:rPr>
        <w:t>…</w:t>
      </w:r>
      <w:r w:rsidR="00F04CD7" w:rsidRPr="008832DF">
        <w:rPr>
          <w:rFonts w:ascii="Garamond" w:hAnsi="Garamond" w:cs="Times New Roman"/>
          <w:sz w:val="24"/>
          <w:szCs w:val="24"/>
        </w:rPr>
        <w:t>]</w:t>
      </w:r>
      <w:r w:rsidR="00B6709C" w:rsidRPr="008832DF">
        <w:rPr>
          <w:rFonts w:ascii="Garamond" w:hAnsi="Garamond" w:cs="Times New Roman"/>
          <w:sz w:val="24"/>
          <w:szCs w:val="24"/>
        </w:rPr>
        <w:t xml:space="preserve"> is the organizing principle of the Open Government Partnership (OGP). OGP recognizes that “Openness with respect to government-produced information is part of the right of the public to access any output of taxpayer funding”</w:t>
      </w:r>
      <w:r w:rsidR="00F04CD7" w:rsidRPr="008832DF">
        <w:rPr>
          <w:rFonts w:ascii="Garamond" w:hAnsi="Garamond" w:cs="Times New Roman"/>
          <w:sz w:val="24"/>
          <w:szCs w:val="24"/>
        </w:rPr>
        <w:t>.</w:t>
      </w:r>
      <w:r w:rsidR="00B6709C" w:rsidRPr="008832DF">
        <w:rPr>
          <w:rStyle w:val="Appelnotedebasdep"/>
          <w:rFonts w:ascii="Garamond" w:hAnsi="Garamond" w:cs="Times New Roman"/>
          <w:sz w:val="24"/>
          <w:szCs w:val="24"/>
        </w:rPr>
        <w:footnoteReference w:id="22"/>
      </w:r>
    </w:p>
    <w:p w14:paraId="32C83190" w14:textId="1A3446BD" w:rsidR="004D4FBE" w:rsidRPr="008832DF" w:rsidRDefault="004D4FBE" w:rsidP="000B39D7">
      <w:pPr>
        <w:spacing w:after="0" w:line="240" w:lineRule="auto"/>
        <w:jc w:val="both"/>
        <w:rPr>
          <w:rFonts w:ascii="Garamond" w:hAnsi="Garamond" w:cs="Times New Roman"/>
          <w:sz w:val="24"/>
          <w:szCs w:val="24"/>
        </w:rPr>
      </w:pPr>
      <w:r w:rsidRPr="008832DF">
        <w:rPr>
          <w:rFonts w:ascii="Garamond" w:hAnsi="Garamond" w:cs="Times New Roman"/>
          <w:sz w:val="24"/>
          <w:szCs w:val="24"/>
        </w:rPr>
        <w:t xml:space="preserve">Broadening the scope of the right of access to public information builds on this foundation. </w:t>
      </w:r>
      <w:r w:rsidR="00FE6DDF" w:rsidRPr="008832DF">
        <w:rPr>
          <w:rFonts w:ascii="Garamond" w:hAnsi="Garamond" w:cs="Times New Roman"/>
          <w:sz w:val="24"/>
          <w:szCs w:val="24"/>
        </w:rPr>
        <w:t>Therefore</w:t>
      </w:r>
      <w:r w:rsidRPr="008832DF">
        <w:rPr>
          <w:rFonts w:ascii="Garamond" w:hAnsi="Garamond" w:cs="Times New Roman"/>
          <w:sz w:val="24"/>
          <w:szCs w:val="24"/>
        </w:rPr>
        <w:t xml:space="preserve">, the Council of Europe Convention states that </w:t>
      </w:r>
      <w:r w:rsidR="005C38E2" w:rsidRPr="008832DF">
        <w:rPr>
          <w:rFonts w:ascii="Garamond" w:hAnsi="Garamond" w:cs="Times New Roman"/>
          <w:sz w:val="24"/>
          <w:szCs w:val="24"/>
        </w:rPr>
        <w:t>“</w:t>
      </w:r>
      <w:r w:rsidRPr="008832DF">
        <w:rPr>
          <w:rFonts w:ascii="Garamond" w:hAnsi="Garamond" w:cs="Times New Roman"/>
          <w:sz w:val="24"/>
          <w:szCs w:val="24"/>
        </w:rPr>
        <w:t>all official documents are in principle public and can be withheld subject only to the protection of other rights and legitimate interests</w:t>
      </w:r>
      <w:r w:rsidR="005C38E2" w:rsidRPr="008832DF">
        <w:rPr>
          <w:rFonts w:ascii="Garamond" w:hAnsi="Garamond" w:cs="Times New Roman"/>
          <w:sz w:val="24"/>
          <w:szCs w:val="24"/>
        </w:rPr>
        <w:t>”.</w:t>
      </w:r>
      <w:r w:rsidRPr="008832DF">
        <w:rPr>
          <w:rFonts w:ascii="Garamond" w:hAnsi="Garamond" w:cs="Times New Roman"/>
          <w:sz w:val="24"/>
          <w:szCs w:val="24"/>
        </w:rPr>
        <w:t xml:space="preserve"> </w:t>
      </w:r>
      <w:r w:rsidR="00FE6DDF" w:rsidRPr="008832DF">
        <w:rPr>
          <w:rFonts w:ascii="Garamond" w:hAnsi="Garamond" w:cs="Times New Roman"/>
          <w:sz w:val="24"/>
          <w:szCs w:val="24"/>
        </w:rPr>
        <w:t xml:space="preserve">Although </w:t>
      </w:r>
      <w:r w:rsidRPr="008832DF">
        <w:rPr>
          <w:rFonts w:ascii="Garamond" w:hAnsi="Garamond" w:cs="Times New Roman"/>
          <w:sz w:val="24"/>
          <w:szCs w:val="24"/>
        </w:rPr>
        <w:t xml:space="preserve">the wording of this text suggests there may be exceptions to this rule, the broadening of the scope of the right of access to public information enshrined in </w:t>
      </w:r>
      <w:r w:rsidR="00FE6DDF" w:rsidRPr="008832DF">
        <w:rPr>
          <w:rFonts w:ascii="Garamond" w:hAnsi="Garamond" w:cs="Times New Roman"/>
          <w:sz w:val="24"/>
          <w:szCs w:val="24"/>
        </w:rPr>
        <w:t xml:space="preserve">the </w:t>
      </w:r>
      <w:r w:rsidRPr="008832DF">
        <w:rPr>
          <w:rFonts w:ascii="Garamond" w:hAnsi="Garamond" w:cs="Times New Roman"/>
          <w:sz w:val="24"/>
          <w:szCs w:val="24"/>
        </w:rPr>
        <w:t xml:space="preserve">text should be </w:t>
      </w:r>
      <w:r w:rsidR="00FE6DDF" w:rsidRPr="008832DF">
        <w:rPr>
          <w:rFonts w:ascii="Garamond" w:hAnsi="Garamond" w:cs="Times New Roman"/>
          <w:sz w:val="24"/>
          <w:szCs w:val="24"/>
        </w:rPr>
        <w:t>noted</w:t>
      </w:r>
      <w:r w:rsidRPr="008832DF">
        <w:rPr>
          <w:rFonts w:ascii="Garamond" w:hAnsi="Garamond" w:cs="Times New Roman"/>
          <w:sz w:val="24"/>
          <w:szCs w:val="24"/>
        </w:rPr>
        <w:t xml:space="preserve">. This change seems </w:t>
      </w:r>
      <w:r w:rsidR="00FE6DDF" w:rsidRPr="008832DF">
        <w:rPr>
          <w:rFonts w:ascii="Garamond" w:hAnsi="Garamond" w:cs="Times New Roman"/>
          <w:sz w:val="24"/>
          <w:szCs w:val="24"/>
        </w:rPr>
        <w:t>significant</w:t>
      </w:r>
      <w:r w:rsidRPr="008832DF">
        <w:rPr>
          <w:rFonts w:ascii="Garamond" w:hAnsi="Garamond" w:cs="Times New Roman"/>
          <w:sz w:val="24"/>
          <w:szCs w:val="24"/>
        </w:rPr>
        <w:t xml:space="preserve">, since all public information held by </w:t>
      </w:r>
      <w:r w:rsidR="00FE6DDF" w:rsidRPr="008832DF">
        <w:rPr>
          <w:rFonts w:ascii="Garamond" w:hAnsi="Garamond" w:cs="Times New Roman"/>
          <w:sz w:val="24"/>
          <w:szCs w:val="24"/>
        </w:rPr>
        <w:t>government bodies</w:t>
      </w:r>
      <w:r w:rsidRPr="008832DF">
        <w:rPr>
          <w:rFonts w:ascii="Garamond" w:hAnsi="Garamond" w:cs="Times New Roman"/>
          <w:sz w:val="24"/>
          <w:szCs w:val="24"/>
        </w:rPr>
        <w:t xml:space="preserve"> is now intended to be open, </w:t>
      </w:r>
      <w:r w:rsidR="00FE6DDF" w:rsidRPr="008832DF">
        <w:rPr>
          <w:rFonts w:ascii="Garamond" w:hAnsi="Garamond" w:cs="Times New Roman"/>
          <w:sz w:val="24"/>
          <w:szCs w:val="24"/>
        </w:rPr>
        <w:t xml:space="preserve">i.e., </w:t>
      </w:r>
      <w:r w:rsidRPr="008832DF">
        <w:rPr>
          <w:rFonts w:ascii="Garamond" w:hAnsi="Garamond" w:cs="Times New Roman"/>
          <w:sz w:val="24"/>
          <w:szCs w:val="24"/>
        </w:rPr>
        <w:t xml:space="preserve">accessible to the public. In other words, </w:t>
      </w:r>
      <w:r w:rsidR="00FE6DDF" w:rsidRPr="008832DF">
        <w:rPr>
          <w:rFonts w:ascii="Garamond" w:hAnsi="Garamond" w:cs="Times New Roman"/>
          <w:sz w:val="24"/>
          <w:szCs w:val="24"/>
        </w:rPr>
        <w:t>governments are</w:t>
      </w:r>
      <w:r w:rsidRPr="008832DF">
        <w:rPr>
          <w:rFonts w:ascii="Garamond" w:hAnsi="Garamond" w:cs="Times New Roman"/>
          <w:sz w:val="24"/>
          <w:szCs w:val="24"/>
        </w:rPr>
        <w:t xml:space="preserve"> no longer merely responsible for </w:t>
      </w:r>
      <w:r w:rsidR="00FE6DDF" w:rsidRPr="008832DF">
        <w:rPr>
          <w:rFonts w:ascii="Garamond" w:hAnsi="Garamond" w:cs="Times New Roman"/>
          <w:sz w:val="24"/>
          <w:szCs w:val="24"/>
        </w:rPr>
        <w:t xml:space="preserve">maintaining </w:t>
      </w:r>
      <w:r w:rsidRPr="008832DF">
        <w:rPr>
          <w:rFonts w:ascii="Garamond" w:hAnsi="Garamond" w:cs="Times New Roman"/>
          <w:sz w:val="24"/>
          <w:szCs w:val="24"/>
        </w:rPr>
        <w:t xml:space="preserve">public information </w:t>
      </w:r>
      <w:r w:rsidR="00FE6DDF" w:rsidRPr="008832DF">
        <w:rPr>
          <w:rFonts w:ascii="Garamond" w:hAnsi="Garamond" w:cs="Times New Roman"/>
          <w:sz w:val="24"/>
          <w:szCs w:val="24"/>
        </w:rPr>
        <w:t xml:space="preserve">that is </w:t>
      </w:r>
      <w:r w:rsidRPr="008832DF">
        <w:rPr>
          <w:rFonts w:ascii="Garamond" w:hAnsi="Garamond" w:cs="Times New Roman"/>
          <w:sz w:val="24"/>
          <w:szCs w:val="24"/>
        </w:rPr>
        <w:t xml:space="preserve">in the public interest. </w:t>
      </w:r>
      <w:r w:rsidR="00FE6DDF" w:rsidRPr="008832DF">
        <w:rPr>
          <w:rFonts w:ascii="Garamond" w:hAnsi="Garamond" w:cs="Times New Roman"/>
          <w:sz w:val="24"/>
          <w:szCs w:val="24"/>
        </w:rPr>
        <w:t>They</w:t>
      </w:r>
      <w:r w:rsidRPr="008832DF">
        <w:rPr>
          <w:rFonts w:ascii="Garamond" w:hAnsi="Garamond" w:cs="Times New Roman"/>
          <w:sz w:val="24"/>
          <w:szCs w:val="24"/>
        </w:rPr>
        <w:t xml:space="preserve"> now have the task of ensuring </w:t>
      </w:r>
      <w:r w:rsidR="00FE6DDF" w:rsidRPr="008832DF">
        <w:rPr>
          <w:rFonts w:ascii="Garamond" w:hAnsi="Garamond" w:cs="Times New Roman"/>
          <w:sz w:val="24"/>
          <w:szCs w:val="24"/>
        </w:rPr>
        <w:t xml:space="preserve">open access to </w:t>
      </w:r>
      <w:r w:rsidRPr="008832DF">
        <w:rPr>
          <w:rFonts w:ascii="Garamond" w:hAnsi="Garamond" w:cs="Times New Roman"/>
          <w:sz w:val="24"/>
          <w:szCs w:val="24"/>
        </w:rPr>
        <w:t>this public information</w:t>
      </w:r>
      <w:r w:rsidR="00FE6DDF" w:rsidRPr="008832DF">
        <w:rPr>
          <w:rFonts w:ascii="Garamond" w:hAnsi="Garamond" w:cs="Times New Roman"/>
          <w:sz w:val="24"/>
          <w:szCs w:val="24"/>
        </w:rPr>
        <w:t xml:space="preserve"> in the public interest</w:t>
      </w:r>
      <w:r w:rsidRPr="008832DF">
        <w:rPr>
          <w:rFonts w:ascii="Garamond" w:hAnsi="Garamond" w:cs="Times New Roman"/>
          <w:sz w:val="24"/>
          <w:szCs w:val="24"/>
        </w:rPr>
        <w:t xml:space="preserve">, </w:t>
      </w:r>
      <w:r w:rsidR="00B90265" w:rsidRPr="008832DF">
        <w:rPr>
          <w:rFonts w:ascii="Garamond" w:hAnsi="Garamond" w:cs="Times New Roman"/>
          <w:sz w:val="24"/>
          <w:szCs w:val="24"/>
        </w:rPr>
        <w:t>as a prerequisite</w:t>
      </w:r>
      <w:r w:rsidRPr="008832DF">
        <w:rPr>
          <w:rFonts w:ascii="Garamond" w:hAnsi="Garamond" w:cs="Times New Roman"/>
          <w:sz w:val="24"/>
          <w:szCs w:val="24"/>
        </w:rPr>
        <w:t xml:space="preserve"> for citizens to be able to take part in </w:t>
      </w:r>
      <w:r w:rsidR="00FE6DDF" w:rsidRPr="008832DF">
        <w:rPr>
          <w:rFonts w:ascii="Garamond" w:hAnsi="Garamond" w:cs="Times New Roman"/>
          <w:sz w:val="24"/>
          <w:szCs w:val="24"/>
        </w:rPr>
        <w:t xml:space="preserve">the </w:t>
      </w:r>
      <w:r w:rsidRPr="008832DF">
        <w:rPr>
          <w:rFonts w:ascii="Garamond" w:hAnsi="Garamond" w:cs="Times New Roman"/>
          <w:sz w:val="24"/>
          <w:szCs w:val="24"/>
        </w:rPr>
        <w:t>decision</w:t>
      </w:r>
      <w:r w:rsidR="00FE6DDF" w:rsidRPr="008832DF">
        <w:rPr>
          <w:rFonts w:ascii="Garamond" w:hAnsi="Garamond" w:cs="Times New Roman"/>
          <w:sz w:val="24"/>
          <w:szCs w:val="24"/>
        </w:rPr>
        <w:t>-</w:t>
      </w:r>
      <w:r w:rsidRPr="008832DF">
        <w:rPr>
          <w:rFonts w:ascii="Garamond" w:hAnsi="Garamond" w:cs="Times New Roman"/>
          <w:sz w:val="24"/>
          <w:szCs w:val="24"/>
        </w:rPr>
        <w:t>making</w:t>
      </w:r>
      <w:r w:rsidR="00FE6DDF" w:rsidRPr="008832DF">
        <w:rPr>
          <w:rFonts w:ascii="Garamond" w:hAnsi="Garamond" w:cs="Times New Roman"/>
          <w:sz w:val="24"/>
          <w:szCs w:val="24"/>
        </w:rPr>
        <w:t xml:space="preserve"> process</w:t>
      </w:r>
      <w:r w:rsidRPr="008832DF">
        <w:rPr>
          <w:rFonts w:ascii="Garamond" w:hAnsi="Garamond" w:cs="Times New Roman"/>
          <w:sz w:val="24"/>
          <w:szCs w:val="24"/>
        </w:rPr>
        <w:t xml:space="preserve">. </w:t>
      </w:r>
      <w:r w:rsidR="00B90265" w:rsidRPr="008832DF">
        <w:rPr>
          <w:rFonts w:ascii="Garamond" w:hAnsi="Garamond" w:cs="Times New Roman"/>
          <w:sz w:val="24"/>
          <w:szCs w:val="24"/>
        </w:rPr>
        <w:t>We can easily see how</w:t>
      </w:r>
      <w:r w:rsidRPr="008832DF">
        <w:rPr>
          <w:rFonts w:ascii="Garamond" w:hAnsi="Garamond" w:cs="Times New Roman"/>
          <w:sz w:val="24"/>
          <w:szCs w:val="24"/>
        </w:rPr>
        <w:t xml:space="preserve"> this evolution is </w:t>
      </w:r>
      <w:r w:rsidR="00B90265" w:rsidRPr="008832DF">
        <w:rPr>
          <w:rFonts w:ascii="Garamond" w:hAnsi="Garamond" w:cs="Times New Roman"/>
          <w:sz w:val="24"/>
          <w:szCs w:val="24"/>
        </w:rPr>
        <w:t>fully consistent with the idea</w:t>
      </w:r>
      <w:r w:rsidRPr="008832DF">
        <w:rPr>
          <w:rFonts w:ascii="Garamond" w:hAnsi="Garamond" w:cs="Times New Roman"/>
          <w:sz w:val="24"/>
          <w:szCs w:val="24"/>
        </w:rPr>
        <w:t xml:space="preserve"> of Open Government, </w:t>
      </w:r>
      <w:r w:rsidR="00B90265" w:rsidRPr="008832DF">
        <w:rPr>
          <w:rFonts w:ascii="Garamond" w:hAnsi="Garamond" w:cs="Times New Roman"/>
          <w:sz w:val="24"/>
          <w:szCs w:val="24"/>
        </w:rPr>
        <w:t xml:space="preserve">which </w:t>
      </w:r>
      <w:r w:rsidRPr="008832DF">
        <w:rPr>
          <w:rFonts w:ascii="Garamond" w:hAnsi="Garamond" w:cs="Times New Roman"/>
          <w:sz w:val="24"/>
          <w:szCs w:val="24"/>
        </w:rPr>
        <w:t xml:space="preserve">is intended </w:t>
      </w:r>
      <w:r w:rsidRPr="008832DF">
        <w:rPr>
          <w:rFonts w:ascii="Garamond" w:hAnsi="Garamond" w:cs="Times New Roman"/>
          <w:sz w:val="24"/>
          <w:szCs w:val="24"/>
        </w:rPr>
        <w:lastRenderedPageBreak/>
        <w:t xml:space="preserve">to allow civil society </w:t>
      </w:r>
      <w:r w:rsidR="00B90265" w:rsidRPr="008832DF">
        <w:rPr>
          <w:rFonts w:ascii="Garamond" w:hAnsi="Garamond" w:cs="Times New Roman"/>
          <w:sz w:val="24"/>
          <w:szCs w:val="24"/>
        </w:rPr>
        <w:t xml:space="preserve">to participate </w:t>
      </w:r>
      <w:r w:rsidRPr="008832DF">
        <w:rPr>
          <w:rFonts w:ascii="Garamond" w:hAnsi="Garamond" w:cs="Times New Roman"/>
          <w:sz w:val="24"/>
          <w:szCs w:val="24"/>
        </w:rPr>
        <w:t xml:space="preserve">in </w:t>
      </w:r>
      <w:r w:rsidR="00B90265" w:rsidRPr="008832DF">
        <w:rPr>
          <w:rFonts w:ascii="Garamond" w:hAnsi="Garamond" w:cs="Times New Roman"/>
          <w:sz w:val="24"/>
          <w:szCs w:val="24"/>
        </w:rPr>
        <w:t>decision-</w:t>
      </w:r>
      <w:r w:rsidRPr="008832DF">
        <w:rPr>
          <w:rFonts w:ascii="Garamond" w:hAnsi="Garamond" w:cs="Times New Roman"/>
          <w:sz w:val="24"/>
          <w:szCs w:val="24"/>
        </w:rPr>
        <w:t xml:space="preserve">making. Therefore, it is important to guarantee the effectiveness of the right of access to public information. It is the duty of </w:t>
      </w:r>
      <w:r w:rsidR="00B90265" w:rsidRPr="008832DF">
        <w:rPr>
          <w:rFonts w:ascii="Garamond" w:hAnsi="Garamond" w:cs="Times New Roman"/>
          <w:sz w:val="24"/>
          <w:szCs w:val="24"/>
        </w:rPr>
        <w:t>government bodies</w:t>
      </w:r>
      <w:r w:rsidRPr="008832DF">
        <w:rPr>
          <w:rFonts w:ascii="Garamond" w:hAnsi="Garamond" w:cs="Times New Roman"/>
          <w:sz w:val="24"/>
          <w:szCs w:val="24"/>
        </w:rPr>
        <w:t xml:space="preserve"> holding public information to take steps to facilitate this access</w:t>
      </w:r>
      <w:r w:rsidR="00B90265" w:rsidRPr="008832DF">
        <w:rPr>
          <w:rFonts w:ascii="Garamond" w:hAnsi="Garamond" w:cs="Times New Roman"/>
          <w:sz w:val="24"/>
          <w:szCs w:val="24"/>
        </w:rPr>
        <w:t xml:space="preserve"> and thereby make</w:t>
      </w:r>
      <w:r w:rsidRPr="008832DF">
        <w:rPr>
          <w:rFonts w:ascii="Garamond" w:hAnsi="Garamond" w:cs="Times New Roman"/>
          <w:sz w:val="24"/>
          <w:szCs w:val="24"/>
        </w:rPr>
        <w:t xml:space="preserve"> public information</w:t>
      </w:r>
      <w:r w:rsidR="00B90265" w:rsidRPr="008832DF">
        <w:rPr>
          <w:rFonts w:ascii="Garamond" w:hAnsi="Garamond" w:cs="Times New Roman"/>
          <w:sz w:val="24"/>
          <w:szCs w:val="24"/>
        </w:rPr>
        <w:t xml:space="preserve"> more open</w:t>
      </w:r>
      <w:r w:rsidRPr="008832DF">
        <w:rPr>
          <w:rFonts w:ascii="Garamond" w:hAnsi="Garamond" w:cs="Times New Roman"/>
          <w:sz w:val="24"/>
          <w:szCs w:val="24"/>
        </w:rPr>
        <w:t xml:space="preserve">. The Council of Europe Convention, therefore, provides for access to </w:t>
      </w:r>
      <w:r w:rsidR="00B90265" w:rsidRPr="008832DF">
        <w:rPr>
          <w:rFonts w:ascii="Garamond" w:hAnsi="Garamond" w:cs="Times New Roman"/>
          <w:sz w:val="24"/>
          <w:szCs w:val="24"/>
        </w:rPr>
        <w:t xml:space="preserve">government-held </w:t>
      </w:r>
      <w:r w:rsidRPr="008832DF">
        <w:rPr>
          <w:rFonts w:ascii="Garamond" w:hAnsi="Garamond" w:cs="Times New Roman"/>
          <w:sz w:val="24"/>
          <w:szCs w:val="24"/>
        </w:rPr>
        <w:t xml:space="preserve">public documents </w:t>
      </w:r>
      <w:r w:rsidR="00B90265" w:rsidRPr="008832DF">
        <w:rPr>
          <w:rFonts w:ascii="Garamond" w:hAnsi="Garamond" w:cs="Times New Roman"/>
          <w:sz w:val="24"/>
          <w:szCs w:val="24"/>
        </w:rPr>
        <w:t>by</w:t>
      </w:r>
      <w:r w:rsidRPr="008832DF">
        <w:rPr>
          <w:rFonts w:ascii="Garamond" w:hAnsi="Garamond" w:cs="Times New Roman"/>
          <w:sz w:val="24"/>
          <w:szCs w:val="24"/>
        </w:rPr>
        <w:t xml:space="preserve"> any applicant without discrimination. In this way, the Convention incorporates and broadens the Aarhus Convention</w:t>
      </w:r>
      <w:r w:rsidR="00F04CD7" w:rsidRPr="008832DF">
        <w:rPr>
          <w:rFonts w:ascii="Garamond" w:hAnsi="Garamond" w:cs="Times New Roman"/>
          <w:sz w:val="24"/>
          <w:szCs w:val="24"/>
        </w:rPr>
        <w:t>’</w:t>
      </w:r>
      <w:r w:rsidRPr="008832DF">
        <w:rPr>
          <w:rFonts w:ascii="Garamond" w:hAnsi="Garamond" w:cs="Times New Roman"/>
          <w:sz w:val="24"/>
          <w:szCs w:val="24"/>
        </w:rPr>
        <w:t xml:space="preserve">s definition of the public for whom the information held by </w:t>
      </w:r>
      <w:r w:rsidR="00B90265" w:rsidRPr="008832DF">
        <w:rPr>
          <w:rFonts w:ascii="Garamond" w:hAnsi="Garamond" w:cs="Times New Roman"/>
          <w:sz w:val="24"/>
          <w:szCs w:val="24"/>
        </w:rPr>
        <w:t>governments</w:t>
      </w:r>
      <w:r w:rsidRPr="008832DF">
        <w:rPr>
          <w:rFonts w:ascii="Garamond" w:hAnsi="Garamond" w:cs="Times New Roman"/>
          <w:sz w:val="24"/>
          <w:szCs w:val="24"/>
        </w:rPr>
        <w:t xml:space="preserve"> is intended.</w:t>
      </w:r>
    </w:p>
    <w:p w14:paraId="45221D8E" w14:textId="77777777" w:rsidR="004D4FBE" w:rsidRPr="008832DF" w:rsidRDefault="004D4FBE" w:rsidP="000B39D7">
      <w:pPr>
        <w:spacing w:after="0" w:line="240" w:lineRule="auto"/>
        <w:jc w:val="both"/>
        <w:rPr>
          <w:rFonts w:ascii="Garamond" w:hAnsi="Garamond" w:cs="Times New Roman"/>
          <w:sz w:val="24"/>
          <w:szCs w:val="24"/>
        </w:rPr>
      </w:pPr>
      <w:r w:rsidRPr="008832DF">
        <w:rPr>
          <w:rFonts w:ascii="Garamond" w:hAnsi="Garamond" w:cs="Times New Roman"/>
          <w:sz w:val="24"/>
          <w:szCs w:val="24"/>
        </w:rPr>
        <w:t xml:space="preserve">The Council of Europe Convention also </w:t>
      </w:r>
      <w:r w:rsidR="00B90265" w:rsidRPr="008832DF">
        <w:rPr>
          <w:rFonts w:ascii="Garamond" w:hAnsi="Garamond" w:cs="Times New Roman"/>
          <w:sz w:val="24"/>
          <w:szCs w:val="24"/>
        </w:rPr>
        <w:t>addresses</w:t>
      </w:r>
      <w:r w:rsidRPr="008832DF">
        <w:rPr>
          <w:rFonts w:ascii="Garamond" w:hAnsi="Garamond" w:cs="Times New Roman"/>
          <w:sz w:val="24"/>
          <w:szCs w:val="24"/>
        </w:rPr>
        <w:t xml:space="preserve"> other measures </w:t>
      </w:r>
      <w:r w:rsidR="00D15484" w:rsidRPr="008832DF">
        <w:rPr>
          <w:rFonts w:ascii="Garamond" w:hAnsi="Garamond" w:cs="Times New Roman"/>
          <w:sz w:val="24"/>
          <w:szCs w:val="24"/>
        </w:rPr>
        <w:t>that lend</w:t>
      </w:r>
      <w:r w:rsidRPr="008832DF">
        <w:rPr>
          <w:rFonts w:ascii="Garamond" w:hAnsi="Garamond" w:cs="Times New Roman"/>
          <w:sz w:val="24"/>
          <w:szCs w:val="24"/>
        </w:rPr>
        <w:t xml:space="preserve"> greater substance to the right of access to public information by </w:t>
      </w:r>
      <w:r w:rsidR="00D15484" w:rsidRPr="008832DF">
        <w:rPr>
          <w:rFonts w:ascii="Garamond" w:hAnsi="Garamond" w:cs="Times New Roman"/>
          <w:sz w:val="24"/>
          <w:szCs w:val="24"/>
        </w:rPr>
        <w:t>tasking the government with assisting</w:t>
      </w:r>
      <w:r w:rsidRPr="008832DF">
        <w:rPr>
          <w:rFonts w:ascii="Garamond" w:hAnsi="Garamond" w:cs="Times New Roman"/>
          <w:sz w:val="24"/>
          <w:szCs w:val="24"/>
        </w:rPr>
        <w:t xml:space="preserve"> the public in this area. </w:t>
      </w:r>
      <w:r w:rsidR="00D15484" w:rsidRPr="008832DF">
        <w:rPr>
          <w:rFonts w:ascii="Garamond" w:hAnsi="Garamond" w:cs="Times New Roman"/>
          <w:sz w:val="24"/>
          <w:szCs w:val="24"/>
        </w:rPr>
        <w:t xml:space="preserve">Government bodies </w:t>
      </w:r>
      <w:r w:rsidRPr="008832DF">
        <w:rPr>
          <w:rFonts w:ascii="Garamond" w:hAnsi="Garamond" w:cs="Times New Roman"/>
          <w:sz w:val="24"/>
          <w:szCs w:val="24"/>
        </w:rPr>
        <w:t xml:space="preserve">must, as much as possible, help the public access the information </w:t>
      </w:r>
      <w:r w:rsidR="00D15484" w:rsidRPr="008832DF">
        <w:rPr>
          <w:rFonts w:ascii="Garamond" w:hAnsi="Garamond" w:cs="Times New Roman"/>
          <w:sz w:val="24"/>
          <w:szCs w:val="24"/>
        </w:rPr>
        <w:t xml:space="preserve">it </w:t>
      </w:r>
      <w:r w:rsidRPr="008832DF">
        <w:rPr>
          <w:rFonts w:ascii="Garamond" w:hAnsi="Garamond" w:cs="Times New Roman"/>
          <w:sz w:val="24"/>
          <w:szCs w:val="24"/>
        </w:rPr>
        <w:t>want</w:t>
      </w:r>
      <w:r w:rsidR="00D15484" w:rsidRPr="008832DF">
        <w:rPr>
          <w:rFonts w:ascii="Garamond" w:hAnsi="Garamond" w:cs="Times New Roman"/>
          <w:sz w:val="24"/>
          <w:szCs w:val="24"/>
        </w:rPr>
        <w:t>s</w:t>
      </w:r>
      <w:r w:rsidRPr="008832DF">
        <w:rPr>
          <w:rFonts w:ascii="Garamond" w:hAnsi="Garamond" w:cs="Times New Roman"/>
          <w:sz w:val="24"/>
          <w:szCs w:val="24"/>
        </w:rPr>
        <w:t xml:space="preserve"> by </w:t>
      </w:r>
      <w:r w:rsidR="00D15484" w:rsidRPr="008832DF">
        <w:rPr>
          <w:rFonts w:ascii="Garamond" w:hAnsi="Garamond" w:cs="Times New Roman"/>
          <w:sz w:val="24"/>
          <w:szCs w:val="24"/>
        </w:rPr>
        <w:t>enabling members of the public to identify that information</w:t>
      </w:r>
      <w:r w:rsidRPr="008832DF">
        <w:rPr>
          <w:rFonts w:ascii="Garamond" w:hAnsi="Garamond" w:cs="Times New Roman"/>
          <w:sz w:val="24"/>
          <w:szCs w:val="24"/>
        </w:rPr>
        <w:t xml:space="preserve"> or by directing them to the </w:t>
      </w:r>
      <w:r w:rsidR="00D15484" w:rsidRPr="008832DF">
        <w:rPr>
          <w:rFonts w:ascii="Garamond" w:hAnsi="Garamond" w:cs="Times New Roman"/>
          <w:sz w:val="24"/>
          <w:szCs w:val="24"/>
        </w:rPr>
        <w:t>government body</w:t>
      </w:r>
      <w:r w:rsidRPr="008832DF">
        <w:rPr>
          <w:rFonts w:ascii="Garamond" w:hAnsi="Garamond" w:cs="Times New Roman"/>
          <w:sz w:val="24"/>
          <w:szCs w:val="24"/>
        </w:rPr>
        <w:t xml:space="preserve"> empowered to </w:t>
      </w:r>
      <w:r w:rsidR="00D15484" w:rsidRPr="008832DF">
        <w:rPr>
          <w:rFonts w:ascii="Garamond" w:hAnsi="Garamond" w:cs="Times New Roman"/>
          <w:sz w:val="24"/>
          <w:szCs w:val="24"/>
        </w:rPr>
        <w:t>fulfill</w:t>
      </w:r>
      <w:r w:rsidRPr="008832DF">
        <w:rPr>
          <w:rFonts w:ascii="Garamond" w:hAnsi="Garamond" w:cs="Times New Roman"/>
          <w:sz w:val="24"/>
          <w:szCs w:val="24"/>
        </w:rPr>
        <w:t xml:space="preserve"> their requests. Under these </w:t>
      </w:r>
      <w:r w:rsidR="00D15484" w:rsidRPr="00624BE6">
        <w:rPr>
          <w:rFonts w:ascii="Garamond" w:hAnsi="Garamond" w:cs="Times New Roman"/>
          <w:spacing w:val="2"/>
          <w:sz w:val="24"/>
          <w:szCs w:val="24"/>
        </w:rPr>
        <w:t>two conventions</w:t>
      </w:r>
      <w:r w:rsidRPr="00624BE6">
        <w:rPr>
          <w:rFonts w:ascii="Garamond" w:hAnsi="Garamond" w:cs="Times New Roman"/>
          <w:spacing w:val="2"/>
          <w:sz w:val="24"/>
          <w:szCs w:val="24"/>
        </w:rPr>
        <w:t xml:space="preserve">, </w:t>
      </w:r>
      <w:r w:rsidR="00D15484" w:rsidRPr="00624BE6">
        <w:rPr>
          <w:rFonts w:ascii="Garamond" w:hAnsi="Garamond" w:cs="Times New Roman"/>
          <w:spacing w:val="2"/>
          <w:sz w:val="24"/>
          <w:szCs w:val="24"/>
        </w:rPr>
        <w:t>government agencies</w:t>
      </w:r>
      <w:r w:rsidRPr="00624BE6">
        <w:rPr>
          <w:rFonts w:ascii="Garamond" w:hAnsi="Garamond" w:cs="Times New Roman"/>
          <w:spacing w:val="2"/>
          <w:sz w:val="24"/>
          <w:szCs w:val="24"/>
        </w:rPr>
        <w:t xml:space="preserve"> must also meet fixed deadlines specified in advance for processing </w:t>
      </w:r>
      <w:r w:rsidR="00D15484" w:rsidRPr="00624BE6">
        <w:rPr>
          <w:rFonts w:ascii="Garamond" w:hAnsi="Garamond" w:cs="Times New Roman"/>
          <w:spacing w:val="2"/>
          <w:sz w:val="24"/>
          <w:szCs w:val="24"/>
        </w:rPr>
        <w:t>requests</w:t>
      </w:r>
      <w:r w:rsidRPr="00624BE6">
        <w:rPr>
          <w:rFonts w:ascii="Garamond" w:hAnsi="Garamond" w:cs="Times New Roman"/>
          <w:spacing w:val="2"/>
          <w:sz w:val="24"/>
          <w:szCs w:val="24"/>
        </w:rPr>
        <w:t xml:space="preserve">. </w:t>
      </w:r>
      <w:r w:rsidR="00D15484" w:rsidRPr="00624BE6">
        <w:rPr>
          <w:rFonts w:ascii="Garamond" w:hAnsi="Garamond" w:cs="Times New Roman"/>
          <w:spacing w:val="2"/>
          <w:sz w:val="24"/>
          <w:szCs w:val="24"/>
        </w:rPr>
        <w:t>This is meant to</w:t>
      </w:r>
      <w:r w:rsidRPr="00624BE6">
        <w:rPr>
          <w:rFonts w:ascii="Garamond" w:hAnsi="Garamond" w:cs="Times New Roman"/>
          <w:spacing w:val="2"/>
          <w:sz w:val="24"/>
          <w:szCs w:val="24"/>
        </w:rPr>
        <w:t xml:space="preserve"> ensure that the right of access to public information does not become meaningless through </w:t>
      </w:r>
      <w:r w:rsidR="00D15484" w:rsidRPr="00624BE6">
        <w:rPr>
          <w:rFonts w:ascii="Garamond" w:hAnsi="Garamond" w:cs="Times New Roman"/>
          <w:spacing w:val="2"/>
          <w:sz w:val="24"/>
          <w:szCs w:val="24"/>
        </w:rPr>
        <w:t xml:space="preserve">being hindered </w:t>
      </w:r>
      <w:r w:rsidRPr="00624BE6">
        <w:rPr>
          <w:rFonts w:ascii="Garamond" w:hAnsi="Garamond" w:cs="Times New Roman"/>
          <w:spacing w:val="2"/>
          <w:sz w:val="24"/>
          <w:szCs w:val="24"/>
        </w:rPr>
        <w:t>by long delays</w:t>
      </w:r>
      <w:r w:rsidRPr="008832DF">
        <w:rPr>
          <w:rFonts w:ascii="Garamond" w:hAnsi="Garamond" w:cs="Times New Roman"/>
          <w:sz w:val="24"/>
          <w:szCs w:val="24"/>
        </w:rPr>
        <w:t>.</w:t>
      </w:r>
    </w:p>
    <w:p w14:paraId="48D4ABEC" w14:textId="179A3B4E" w:rsidR="004D4FBE" w:rsidRPr="008832DF" w:rsidRDefault="00D15484" w:rsidP="000B39D7">
      <w:pPr>
        <w:spacing w:after="0" w:line="240" w:lineRule="auto"/>
        <w:jc w:val="both"/>
        <w:rPr>
          <w:rFonts w:ascii="Garamond" w:hAnsi="Garamond" w:cs="Times New Roman"/>
          <w:sz w:val="24"/>
          <w:szCs w:val="24"/>
        </w:rPr>
      </w:pPr>
      <w:r w:rsidRPr="008832DF">
        <w:rPr>
          <w:rFonts w:ascii="Garamond" w:hAnsi="Garamond" w:cs="Times New Roman"/>
          <w:sz w:val="24"/>
          <w:szCs w:val="24"/>
        </w:rPr>
        <w:t>Similarly</w:t>
      </w:r>
      <w:r w:rsidR="004D4FBE" w:rsidRPr="008832DF">
        <w:rPr>
          <w:rFonts w:ascii="Garamond" w:hAnsi="Garamond" w:cs="Times New Roman"/>
          <w:sz w:val="24"/>
          <w:szCs w:val="24"/>
        </w:rPr>
        <w:t xml:space="preserve">, </w:t>
      </w:r>
      <w:r w:rsidRPr="008832DF">
        <w:rPr>
          <w:rFonts w:ascii="Garamond" w:hAnsi="Garamond" w:cs="Times New Roman"/>
          <w:sz w:val="24"/>
          <w:szCs w:val="24"/>
        </w:rPr>
        <w:t>there are restrictions on refusing requests for access</w:t>
      </w:r>
      <w:r w:rsidR="004D4FBE" w:rsidRPr="008832DF">
        <w:rPr>
          <w:rFonts w:ascii="Garamond" w:hAnsi="Garamond" w:cs="Times New Roman"/>
          <w:sz w:val="24"/>
          <w:szCs w:val="24"/>
        </w:rPr>
        <w:t xml:space="preserve">. The </w:t>
      </w:r>
      <w:r w:rsidRPr="008832DF">
        <w:rPr>
          <w:rFonts w:ascii="Garamond" w:hAnsi="Garamond" w:cs="Times New Roman"/>
          <w:sz w:val="24"/>
          <w:szCs w:val="24"/>
        </w:rPr>
        <w:t>government</w:t>
      </w:r>
      <w:r w:rsidR="004D4FBE" w:rsidRPr="008832DF">
        <w:rPr>
          <w:rFonts w:ascii="Garamond" w:hAnsi="Garamond" w:cs="Times New Roman"/>
          <w:sz w:val="24"/>
          <w:szCs w:val="24"/>
        </w:rPr>
        <w:t xml:space="preserve"> is required to notify the applicant </w:t>
      </w:r>
      <w:r w:rsidRPr="008832DF">
        <w:rPr>
          <w:rFonts w:ascii="Garamond" w:hAnsi="Garamond" w:cs="Times New Roman"/>
          <w:sz w:val="24"/>
          <w:szCs w:val="24"/>
        </w:rPr>
        <w:t>when any request for</w:t>
      </w:r>
      <w:r w:rsidR="004D4FBE" w:rsidRPr="008832DF">
        <w:rPr>
          <w:rFonts w:ascii="Garamond" w:hAnsi="Garamond" w:cs="Times New Roman"/>
          <w:sz w:val="24"/>
          <w:szCs w:val="24"/>
        </w:rPr>
        <w:t xml:space="preserve"> access to a public document</w:t>
      </w:r>
      <w:r w:rsidRPr="008832DF">
        <w:rPr>
          <w:rFonts w:ascii="Garamond" w:hAnsi="Garamond" w:cs="Times New Roman"/>
          <w:sz w:val="24"/>
          <w:szCs w:val="24"/>
        </w:rPr>
        <w:t xml:space="preserve"> is rejected in whole or in part</w:t>
      </w:r>
      <w:r w:rsidR="004D4FBE" w:rsidRPr="008832DF">
        <w:rPr>
          <w:rFonts w:ascii="Garamond" w:hAnsi="Garamond" w:cs="Times New Roman"/>
          <w:sz w:val="24"/>
          <w:szCs w:val="24"/>
        </w:rPr>
        <w:t xml:space="preserve">. The applicant also has the right to know the reasons for the refusal, so as to be able to appeal the decision before an impartial court established by law. </w:t>
      </w:r>
      <w:r w:rsidRPr="008832DF">
        <w:rPr>
          <w:rFonts w:ascii="Garamond" w:hAnsi="Garamond" w:cs="Times New Roman"/>
          <w:sz w:val="24"/>
          <w:szCs w:val="24"/>
        </w:rPr>
        <w:t>Thus we can see how placing restrictions</w:t>
      </w:r>
      <w:r w:rsidR="008126C8" w:rsidRPr="008832DF">
        <w:rPr>
          <w:rFonts w:ascii="Garamond" w:hAnsi="Garamond" w:cs="Times New Roman"/>
          <w:sz w:val="24"/>
          <w:szCs w:val="24"/>
        </w:rPr>
        <w:t xml:space="preserve"> on any</w:t>
      </w:r>
      <w:r w:rsidR="004D4FBE" w:rsidRPr="008832DF">
        <w:rPr>
          <w:rFonts w:ascii="Garamond" w:hAnsi="Garamond" w:cs="Times New Roman"/>
          <w:sz w:val="24"/>
          <w:szCs w:val="24"/>
        </w:rPr>
        <w:t xml:space="preserve"> denial of access to public records is part of this evolution </w:t>
      </w:r>
      <w:r w:rsidR="00F04CD7" w:rsidRPr="008832DF">
        <w:rPr>
          <w:rFonts w:ascii="Garamond" w:hAnsi="Garamond" w:cs="Times New Roman"/>
          <w:sz w:val="24"/>
          <w:szCs w:val="24"/>
        </w:rPr>
        <w:t>towards</w:t>
      </w:r>
      <w:r w:rsidR="004D4FBE" w:rsidRPr="008832DF">
        <w:rPr>
          <w:rFonts w:ascii="Garamond" w:hAnsi="Garamond" w:cs="Times New Roman"/>
          <w:sz w:val="24"/>
          <w:szCs w:val="24"/>
        </w:rPr>
        <w:t xml:space="preserve"> more open public information.</w:t>
      </w:r>
    </w:p>
    <w:p w14:paraId="21D466AF" w14:textId="1140785E" w:rsidR="004D4FBE" w:rsidRPr="008832DF" w:rsidRDefault="004D4FBE" w:rsidP="000B39D7">
      <w:pPr>
        <w:spacing w:after="0" w:line="240" w:lineRule="auto"/>
        <w:jc w:val="both"/>
        <w:rPr>
          <w:rFonts w:ascii="Garamond" w:hAnsi="Garamond" w:cs="Times New Roman"/>
          <w:sz w:val="24"/>
          <w:szCs w:val="24"/>
        </w:rPr>
      </w:pPr>
      <w:r w:rsidRPr="008832DF">
        <w:rPr>
          <w:rFonts w:ascii="Garamond" w:hAnsi="Garamond" w:cs="Times New Roman"/>
          <w:sz w:val="24"/>
          <w:szCs w:val="24"/>
        </w:rPr>
        <w:t xml:space="preserve">The Declaration on Parliamentary Openness </w:t>
      </w:r>
      <w:r w:rsidR="008126C8" w:rsidRPr="008832DF">
        <w:rPr>
          <w:rFonts w:ascii="Garamond" w:hAnsi="Garamond" w:cs="Times New Roman"/>
          <w:sz w:val="24"/>
          <w:szCs w:val="24"/>
        </w:rPr>
        <w:t xml:space="preserve">embraces </w:t>
      </w:r>
      <w:r w:rsidRPr="008832DF">
        <w:rPr>
          <w:rFonts w:ascii="Garamond" w:hAnsi="Garamond" w:cs="Times New Roman"/>
          <w:sz w:val="24"/>
          <w:szCs w:val="24"/>
        </w:rPr>
        <w:t xml:space="preserve">the legacy of </w:t>
      </w:r>
      <w:r w:rsidR="008126C8" w:rsidRPr="008832DF">
        <w:rPr>
          <w:rFonts w:ascii="Garamond" w:hAnsi="Garamond" w:cs="Times New Roman"/>
          <w:sz w:val="24"/>
          <w:szCs w:val="24"/>
        </w:rPr>
        <w:t xml:space="preserve">the </w:t>
      </w:r>
      <w:r w:rsidRPr="008832DF">
        <w:rPr>
          <w:rFonts w:ascii="Garamond" w:hAnsi="Garamond" w:cs="Times New Roman"/>
          <w:sz w:val="24"/>
          <w:szCs w:val="24"/>
        </w:rPr>
        <w:t>Aarhus and Council of Europe</w:t>
      </w:r>
      <w:r w:rsidR="008126C8" w:rsidRPr="008832DF">
        <w:rPr>
          <w:rFonts w:ascii="Garamond" w:hAnsi="Garamond" w:cs="Times New Roman"/>
          <w:sz w:val="24"/>
          <w:szCs w:val="24"/>
        </w:rPr>
        <w:t xml:space="preserve"> Conventions</w:t>
      </w:r>
      <w:r w:rsidRPr="008832DF">
        <w:rPr>
          <w:rFonts w:ascii="Garamond" w:hAnsi="Garamond" w:cs="Times New Roman"/>
          <w:sz w:val="24"/>
          <w:szCs w:val="24"/>
        </w:rPr>
        <w:t xml:space="preserve">, in particular by </w:t>
      </w:r>
      <w:r w:rsidR="008126C8" w:rsidRPr="008832DF">
        <w:rPr>
          <w:rFonts w:ascii="Garamond" w:hAnsi="Garamond" w:cs="Times New Roman"/>
          <w:sz w:val="24"/>
          <w:szCs w:val="24"/>
        </w:rPr>
        <w:t xml:space="preserve">stating </w:t>
      </w:r>
      <w:r w:rsidRPr="008832DF">
        <w:rPr>
          <w:rFonts w:ascii="Garamond" w:hAnsi="Garamond" w:cs="Times New Roman"/>
          <w:sz w:val="24"/>
          <w:szCs w:val="24"/>
        </w:rPr>
        <w:t xml:space="preserve">that parliamentary institutions are responsible for ensuring </w:t>
      </w:r>
      <w:r w:rsidR="008126C8" w:rsidRPr="008832DF">
        <w:rPr>
          <w:rFonts w:ascii="Garamond" w:hAnsi="Garamond" w:cs="Times New Roman"/>
          <w:sz w:val="24"/>
          <w:szCs w:val="24"/>
        </w:rPr>
        <w:t xml:space="preserve">true </w:t>
      </w:r>
      <w:r w:rsidRPr="008832DF">
        <w:rPr>
          <w:rFonts w:ascii="Garamond" w:hAnsi="Garamond" w:cs="Times New Roman"/>
          <w:sz w:val="24"/>
          <w:szCs w:val="24"/>
        </w:rPr>
        <w:t xml:space="preserve">public access to parliamentary information. </w:t>
      </w:r>
      <w:r w:rsidR="008126C8" w:rsidRPr="008832DF">
        <w:rPr>
          <w:rFonts w:ascii="Garamond" w:hAnsi="Garamond" w:cs="Times New Roman"/>
          <w:sz w:val="24"/>
          <w:szCs w:val="24"/>
        </w:rPr>
        <w:t xml:space="preserve">The </w:t>
      </w:r>
      <w:r w:rsidRPr="008832DF">
        <w:rPr>
          <w:rFonts w:ascii="Garamond" w:hAnsi="Garamond" w:cs="Times New Roman"/>
          <w:sz w:val="24"/>
          <w:szCs w:val="24"/>
        </w:rPr>
        <w:t xml:space="preserve">Declaration goes one step further with regard to </w:t>
      </w:r>
      <w:r w:rsidR="008126C8" w:rsidRPr="008832DF">
        <w:rPr>
          <w:rFonts w:ascii="Garamond" w:hAnsi="Garamond" w:cs="Times New Roman"/>
          <w:sz w:val="24"/>
          <w:szCs w:val="24"/>
        </w:rPr>
        <w:t>more open</w:t>
      </w:r>
      <w:r w:rsidRPr="008832DF">
        <w:rPr>
          <w:rFonts w:ascii="Garamond" w:hAnsi="Garamond" w:cs="Times New Roman"/>
          <w:sz w:val="24"/>
          <w:szCs w:val="24"/>
        </w:rPr>
        <w:t xml:space="preserve"> public information, by encouraging the use of tools that facilitate the right of access. Here we refer to facilitating access to information via the media and using clear language that applicants can understand, so that access is not hindered by obstacles related to legal or </w:t>
      </w:r>
      <w:r w:rsidR="008126C8" w:rsidRPr="008832DF">
        <w:rPr>
          <w:rFonts w:ascii="Garamond" w:hAnsi="Garamond" w:cs="Times New Roman"/>
          <w:sz w:val="24"/>
          <w:szCs w:val="24"/>
        </w:rPr>
        <w:t xml:space="preserve">overly </w:t>
      </w:r>
      <w:r w:rsidRPr="008832DF">
        <w:rPr>
          <w:rFonts w:ascii="Garamond" w:hAnsi="Garamond" w:cs="Times New Roman"/>
          <w:sz w:val="24"/>
          <w:szCs w:val="24"/>
        </w:rPr>
        <w:t xml:space="preserve">technical jargon. The Declaration on Parliamentary Openness also aims to </w:t>
      </w:r>
      <w:r w:rsidR="008126C8" w:rsidRPr="008832DF">
        <w:rPr>
          <w:rFonts w:ascii="Garamond" w:hAnsi="Garamond" w:cs="Times New Roman"/>
          <w:sz w:val="24"/>
          <w:szCs w:val="24"/>
        </w:rPr>
        <w:t xml:space="preserve">take </w:t>
      </w:r>
      <w:r w:rsidRPr="008832DF">
        <w:rPr>
          <w:rFonts w:ascii="Garamond" w:hAnsi="Garamond" w:cs="Times New Roman"/>
          <w:sz w:val="24"/>
          <w:szCs w:val="24"/>
        </w:rPr>
        <w:t xml:space="preserve">technological advances </w:t>
      </w:r>
      <w:r w:rsidR="008126C8" w:rsidRPr="008832DF">
        <w:rPr>
          <w:rFonts w:ascii="Garamond" w:hAnsi="Garamond" w:cs="Times New Roman"/>
          <w:sz w:val="24"/>
          <w:szCs w:val="24"/>
        </w:rPr>
        <w:t xml:space="preserve">into account by </w:t>
      </w:r>
      <w:r w:rsidRPr="008832DF">
        <w:rPr>
          <w:rFonts w:ascii="Garamond" w:hAnsi="Garamond" w:cs="Times New Roman"/>
          <w:sz w:val="24"/>
          <w:szCs w:val="24"/>
        </w:rPr>
        <w:t>promoting access to information through electronic communications tools.</w:t>
      </w:r>
      <w:r w:rsidR="000F5451" w:rsidRPr="008832DF">
        <w:rPr>
          <w:rStyle w:val="Appelnotedebasdep"/>
          <w:rFonts w:ascii="Garamond" w:hAnsi="Garamond" w:cs="Times New Roman"/>
          <w:sz w:val="24"/>
          <w:szCs w:val="24"/>
        </w:rPr>
        <w:footnoteReference w:id="23"/>
      </w:r>
      <w:r w:rsidRPr="008832DF">
        <w:rPr>
          <w:rFonts w:ascii="Garamond" w:hAnsi="Garamond" w:cs="Times New Roman"/>
          <w:sz w:val="24"/>
          <w:szCs w:val="24"/>
        </w:rPr>
        <w:t xml:space="preserve"> These media help to reduce geographical barriers in order to facilitate access to information</w:t>
      </w:r>
      <w:r w:rsidR="008126C8" w:rsidRPr="008832DF">
        <w:rPr>
          <w:rFonts w:ascii="Garamond" w:hAnsi="Garamond" w:cs="Times New Roman"/>
          <w:sz w:val="24"/>
          <w:szCs w:val="24"/>
        </w:rPr>
        <w:t>, while they also</w:t>
      </w:r>
      <w:r w:rsidRPr="008832DF">
        <w:rPr>
          <w:rFonts w:ascii="Garamond" w:hAnsi="Garamond" w:cs="Times New Roman"/>
          <w:sz w:val="24"/>
          <w:szCs w:val="24"/>
        </w:rPr>
        <w:t xml:space="preserve"> </w:t>
      </w:r>
      <w:r w:rsidR="008126C8" w:rsidRPr="008832DF">
        <w:rPr>
          <w:rFonts w:ascii="Garamond" w:hAnsi="Garamond" w:cs="Times New Roman"/>
          <w:sz w:val="24"/>
          <w:szCs w:val="24"/>
        </w:rPr>
        <w:t xml:space="preserve">provide easier </w:t>
      </w:r>
      <w:r w:rsidRPr="008832DF">
        <w:rPr>
          <w:rFonts w:ascii="Garamond" w:hAnsi="Garamond" w:cs="Times New Roman"/>
          <w:sz w:val="24"/>
          <w:szCs w:val="24"/>
        </w:rPr>
        <w:t xml:space="preserve">access to online databases or other parliamentary information contained on websites. The goal is </w:t>
      </w:r>
      <w:r w:rsidR="00154E3F" w:rsidRPr="008832DF">
        <w:rPr>
          <w:rFonts w:ascii="Garamond" w:hAnsi="Garamond" w:cs="Times New Roman"/>
          <w:sz w:val="24"/>
          <w:szCs w:val="24"/>
        </w:rPr>
        <w:t>in some way</w:t>
      </w:r>
      <w:r w:rsidRPr="008832DF">
        <w:rPr>
          <w:rFonts w:ascii="Garamond" w:hAnsi="Garamond" w:cs="Times New Roman"/>
          <w:sz w:val="24"/>
          <w:szCs w:val="24"/>
        </w:rPr>
        <w:t xml:space="preserve"> to bring Parliament into "the modern, interconnected world" in the words of the Declaration. </w:t>
      </w:r>
      <w:r w:rsidR="00154E3F" w:rsidRPr="008832DF">
        <w:rPr>
          <w:rFonts w:ascii="Garamond" w:hAnsi="Garamond" w:cs="Times New Roman"/>
          <w:sz w:val="24"/>
          <w:szCs w:val="24"/>
        </w:rPr>
        <w:t xml:space="preserve">The </w:t>
      </w:r>
      <w:r w:rsidRPr="008832DF">
        <w:rPr>
          <w:rFonts w:ascii="Garamond" w:hAnsi="Garamond" w:cs="Times New Roman"/>
          <w:sz w:val="24"/>
          <w:szCs w:val="24"/>
        </w:rPr>
        <w:t xml:space="preserve">text </w:t>
      </w:r>
      <w:r w:rsidR="00154E3F" w:rsidRPr="008832DF">
        <w:rPr>
          <w:rFonts w:ascii="Garamond" w:hAnsi="Garamond" w:cs="Times New Roman"/>
          <w:sz w:val="24"/>
          <w:szCs w:val="24"/>
        </w:rPr>
        <w:t>is anxious to take note of</w:t>
      </w:r>
      <w:r w:rsidRPr="008832DF">
        <w:rPr>
          <w:rFonts w:ascii="Garamond" w:hAnsi="Garamond" w:cs="Times New Roman"/>
          <w:sz w:val="24"/>
          <w:szCs w:val="24"/>
        </w:rPr>
        <w:t xml:space="preserve"> </w:t>
      </w:r>
      <w:r w:rsidR="00154E3F" w:rsidRPr="008832DF">
        <w:rPr>
          <w:rFonts w:ascii="Garamond" w:hAnsi="Garamond" w:cs="Times New Roman"/>
          <w:sz w:val="24"/>
          <w:szCs w:val="24"/>
        </w:rPr>
        <w:t xml:space="preserve">that </w:t>
      </w:r>
      <w:r w:rsidRPr="008832DF">
        <w:rPr>
          <w:rFonts w:ascii="Garamond" w:hAnsi="Garamond" w:cs="Times New Roman"/>
          <w:sz w:val="24"/>
          <w:szCs w:val="24"/>
        </w:rPr>
        <w:t xml:space="preserve">major </w:t>
      </w:r>
      <w:r w:rsidRPr="008832DF">
        <w:rPr>
          <w:rFonts w:ascii="Garamond" w:hAnsi="Garamond" w:cs="Times New Roman"/>
          <w:sz w:val="24"/>
          <w:szCs w:val="24"/>
        </w:rPr>
        <w:lastRenderedPageBreak/>
        <w:t xml:space="preserve">development and its impact on </w:t>
      </w:r>
      <w:r w:rsidR="00154E3F" w:rsidRPr="008832DF">
        <w:rPr>
          <w:rFonts w:ascii="Garamond" w:hAnsi="Garamond" w:cs="Times New Roman"/>
          <w:sz w:val="24"/>
          <w:szCs w:val="24"/>
        </w:rPr>
        <w:t>providing for more open</w:t>
      </w:r>
      <w:r w:rsidRPr="008832DF">
        <w:rPr>
          <w:rFonts w:ascii="Garamond" w:hAnsi="Garamond" w:cs="Times New Roman"/>
          <w:sz w:val="24"/>
          <w:szCs w:val="24"/>
        </w:rPr>
        <w:t xml:space="preserve"> public information. To </w:t>
      </w:r>
      <w:r w:rsidR="00154E3F" w:rsidRPr="008832DF">
        <w:rPr>
          <w:rFonts w:ascii="Garamond" w:hAnsi="Garamond" w:cs="Times New Roman"/>
          <w:sz w:val="24"/>
          <w:szCs w:val="24"/>
        </w:rPr>
        <w:t xml:space="preserve">that </w:t>
      </w:r>
      <w:r w:rsidRPr="008832DF">
        <w:rPr>
          <w:rFonts w:ascii="Garamond" w:hAnsi="Garamond" w:cs="Times New Roman"/>
          <w:sz w:val="24"/>
          <w:szCs w:val="24"/>
        </w:rPr>
        <w:t xml:space="preserve">end, its Preamble explicitly </w:t>
      </w:r>
      <w:r w:rsidR="00154E3F" w:rsidRPr="008832DF">
        <w:rPr>
          <w:rFonts w:ascii="Garamond" w:hAnsi="Garamond" w:cs="Times New Roman"/>
          <w:sz w:val="24"/>
          <w:szCs w:val="24"/>
        </w:rPr>
        <w:t xml:space="preserve">states </w:t>
      </w:r>
      <w:r w:rsidRPr="008832DF">
        <w:rPr>
          <w:rFonts w:ascii="Garamond" w:hAnsi="Garamond" w:cs="Times New Roman"/>
          <w:sz w:val="24"/>
          <w:szCs w:val="24"/>
        </w:rPr>
        <w:t xml:space="preserve">that the advent of the digital age has fostered the emergence of a new </w:t>
      </w:r>
      <w:r w:rsidR="00154E3F" w:rsidRPr="008832DF">
        <w:rPr>
          <w:rFonts w:ascii="Garamond" w:hAnsi="Garamond" w:cs="Times New Roman"/>
          <w:sz w:val="24"/>
          <w:szCs w:val="24"/>
        </w:rPr>
        <w:t>environment</w:t>
      </w:r>
      <w:r w:rsidRPr="008832DF">
        <w:rPr>
          <w:rFonts w:ascii="Garamond" w:hAnsi="Garamond" w:cs="Times New Roman"/>
          <w:sz w:val="24"/>
          <w:szCs w:val="24"/>
        </w:rPr>
        <w:t xml:space="preserve">, </w:t>
      </w:r>
      <w:r w:rsidR="00154E3F" w:rsidRPr="008832DF">
        <w:rPr>
          <w:rFonts w:ascii="Garamond" w:hAnsi="Garamond" w:cs="Times New Roman"/>
          <w:sz w:val="24"/>
          <w:szCs w:val="24"/>
        </w:rPr>
        <w:t xml:space="preserve">in which the public can more easily access and reuse </w:t>
      </w:r>
      <w:r w:rsidRPr="008832DF">
        <w:rPr>
          <w:rFonts w:ascii="Garamond" w:hAnsi="Garamond" w:cs="Times New Roman"/>
          <w:sz w:val="24"/>
          <w:szCs w:val="24"/>
        </w:rPr>
        <w:t xml:space="preserve">parliamentary information. </w:t>
      </w:r>
      <w:r w:rsidR="00154E3F" w:rsidRPr="008832DF">
        <w:rPr>
          <w:rFonts w:ascii="Garamond" w:hAnsi="Garamond" w:cs="Times New Roman"/>
          <w:sz w:val="24"/>
          <w:szCs w:val="24"/>
        </w:rPr>
        <w:t>In</w:t>
      </w:r>
      <w:r w:rsidRPr="008832DF">
        <w:rPr>
          <w:rFonts w:ascii="Garamond" w:hAnsi="Garamond" w:cs="Times New Roman"/>
          <w:sz w:val="24"/>
          <w:szCs w:val="24"/>
        </w:rPr>
        <w:t xml:space="preserve"> </w:t>
      </w:r>
      <w:r w:rsidR="00154E3F" w:rsidRPr="008832DF">
        <w:rPr>
          <w:rFonts w:ascii="Garamond" w:hAnsi="Garamond" w:cs="Times New Roman"/>
          <w:sz w:val="24"/>
          <w:szCs w:val="24"/>
        </w:rPr>
        <w:t xml:space="preserve">the </w:t>
      </w:r>
      <w:r w:rsidRPr="008832DF">
        <w:rPr>
          <w:rFonts w:ascii="Garamond" w:hAnsi="Garamond" w:cs="Times New Roman"/>
          <w:sz w:val="24"/>
          <w:szCs w:val="24"/>
        </w:rPr>
        <w:t>Declaration</w:t>
      </w:r>
      <w:r w:rsidR="00154E3F" w:rsidRPr="008832DF">
        <w:rPr>
          <w:rFonts w:ascii="Garamond" w:hAnsi="Garamond" w:cs="Times New Roman"/>
          <w:sz w:val="24"/>
          <w:szCs w:val="24"/>
        </w:rPr>
        <w:t>’s view</w:t>
      </w:r>
      <w:r w:rsidRPr="008832DF">
        <w:rPr>
          <w:rFonts w:ascii="Garamond" w:hAnsi="Garamond" w:cs="Times New Roman"/>
          <w:sz w:val="24"/>
          <w:szCs w:val="24"/>
        </w:rPr>
        <w:t xml:space="preserve">, the </w:t>
      </w:r>
      <w:r w:rsidR="00154E3F" w:rsidRPr="008832DF">
        <w:rPr>
          <w:rFonts w:ascii="Garamond" w:hAnsi="Garamond" w:cs="Times New Roman"/>
          <w:sz w:val="24"/>
          <w:szCs w:val="24"/>
        </w:rPr>
        <w:t xml:space="preserve">desired </w:t>
      </w:r>
      <w:r w:rsidRPr="008832DF">
        <w:rPr>
          <w:rFonts w:ascii="Garamond" w:hAnsi="Garamond" w:cs="Times New Roman"/>
          <w:sz w:val="24"/>
          <w:szCs w:val="24"/>
        </w:rPr>
        <w:t>objective is</w:t>
      </w:r>
      <w:r w:rsidR="00154E3F" w:rsidRPr="008832DF">
        <w:rPr>
          <w:rFonts w:ascii="Garamond" w:hAnsi="Garamond" w:cs="Times New Roman"/>
          <w:sz w:val="24"/>
          <w:szCs w:val="24"/>
        </w:rPr>
        <w:t xml:space="preserve"> to develop</w:t>
      </w:r>
      <w:r w:rsidRPr="008832DF">
        <w:rPr>
          <w:rFonts w:ascii="Garamond" w:hAnsi="Garamond" w:cs="Times New Roman"/>
          <w:sz w:val="24"/>
          <w:szCs w:val="24"/>
        </w:rPr>
        <w:t xml:space="preserve"> good governance, best practices and representative democracy. The Aarhus and Council of Europe Conventions had begun to </w:t>
      </w:r>
      <w:r w:rsidR="00251BE5" w:rsidRPr="008832DF">
        <w:rPr>
          <w:rFonts w:ascii="Garamond" w:hAnsi="Garamond" w:cs="Times New Roman"/>
          <w:sz w:val="24"/>
          <w:szCs w:val="24"/>
        </w:rPr>
        <w:t>envision that</w:t>
      </w:r>
      <w:r w:rsidRPr="008832DF">
        <w:rPr>
          <w:rFonts w:ascii="Garamond" w:hAnsi="Garamond" w:cs="Times New Roman"/>
          <w:sz w:val="24"/>
          <w:szCs w:val="24"/>
        </w:rPr>
        <w:t xml:space="preserve"> development a</w:t>
      </w:r>
      <w:r w:rsidR="00251BE5" w:rsidRPr="008832DF">
        <w:rPr>
          <w:rFonts w:ascii="Garamond" w:hAnsi="Garamond" w:cs="Times New Roman"/>
          <w:sz w:val="24"/>
          <w:szCs w:val="24"/>
        </w:rPr>
        <w:t>s well</w:t>
      </w:r>
      <w:r w:rsidRPr="008832DF">
        <w:rPr>
          <w:rFonts w:ascii="Garamond" w:hAnsi="Garamond" w:cs="Times New Roman"/>
          <w:sz w:val="24"/>
          <w:szCs w:val="24"/>
        </w:rPr>
        <w:t>, providing for access to public information in electronic form or through public telecommunications networks.</w:t>
      </w:r>
    </w:p>
    <w:p w14:paraId="0DAF6390" w14:textId="0ECC591C" w:rsidR="004526CD" w:rsidRPr="008832DF" w:rsidRDefault="004D4FBE" w:rsidP="000B39D7">
      <w:pPr>
        <w:spacing w:after="0" w:line="240" w:lineRule="auto"/>
        <w:jc w:val="both"/>
        <w:rPr>
          <w:rFonts w:ascii="Garamond" w:hAnsi="Garamond" w:cs="Times New Roman"/>
          <w:sz w:val="24"/>
          <w:szCs w:val="24"/>
        </w:rPr>
      </w:pPr>
      <w:r w:rsidRPr="008832DF">
        <w:rPr>
          <w:rFonts w:ascii="Garamond" w:hAnsi="Garamond" w:cs="Times New Roman"/>
          <w:sz w:val="24"/>
          <w:szCs w:val="24"/>
        </w:rPr>
        <w:t xml:space="preserve">In view of all this and as noted above, it </w:t>
      </w:r>
      <w:r w:rsidR="00251BE5" w:rsidRPr="008832DF">
        <w:rPr>
          <w:rFonts w:ascii="Garamond" w:hAnsi="Garamond" w:cs="Times New Roman"/>
          <w:sz w:val="24"/>
          <w:szCs w:val="24"/>
        </w:rPr>
        <w:t xml:space="preserve">is apparent </w:t>
      </w:r>
      <w:r w:rsidRPr="008832DF">
        <w:rPr>
          <w:rFonts w:ascii="Garamond" w:hAnsi="Garamond" w:cs="Times New Roman"/>
          <w:sz w:val="24"/>
          <w:szCs w:val="24"/>
        </w:rPr>
        <w:t xml:space="preserve">that in the era of digital technology and the information society, strengthening democracy </w:t>
      </w:r>
      <w:r w:rsidR="00251BE5" w:rsidRPr="008832DF">
        <w:rPr>
          <w:rFonts w:ascii="Garamond" w:hAnsi="Garamond" w:cs="Times New Roman"/>
          <w:sz w:val="24"/>
          <w:szCs w:val="24"/>
        </w:rPr>
        <w:t xml:space="preserve">involves </w:t>
      </w:r>
      <w:r w:rsidRPr="008832DF">
        <w:rPr>
          <w:rFonts w:ascii="Garamond" w:hAnsi="Garamond" w:cs="Times New Roman"/>
          <w:sz w:val="24"/>
          <w:szCs w:val="24"/>
        </w:rPr>
        <w:t xml:space="preserve">not only </w:t>
      </w:r>
      <w:r w:rsidR="00251BE5" w:rsidRPr="008832DF">
        <w:rPr>
          <w:rFonts w:ascii="Garamond" w:hAnsi="Garamond" w:cs="Times New Roman"/>
          <w:sz w:val="24"/>
          <w:szCs w:val="24"/>
        </w:rPr>
        <w:t xml:space="preserve">providing </w:t>
      </w:r>
      <w:r w:rsidRPr="008832DF">
        <w:rPr>
          <w:rFonts w:ascii="Garamond" w:hAnsi="Garamond" w:cs="Times New Roman"/>
          <w:sz w:val="24"/>
          <w:szCs w:val="24"/>
        </w:rPr>
        <w:t xml:space="preserve">more open access to public information, but also </w:t>
      </w:r>
      <w:r w:rsidR="00251BE5" w:rsidRPr="008832DF">
        <w:rPr>
          <w:rFonts w:ascii="Garamond" w:hAnsi="Garamond" w:cs="Times New Roman"/>
          <w:sz w:val="24"/>
          <w:szCs w:val="24"/>
        </w:rPr>
        <w:t xml:space="preserve">giving </w:t>
      </w:r>
      <w:r w:rsidRPr="008832DF">
        <w:rPr>
          <w:rFonts w:ascii="Garamond" w:hAnsi="Garamond" w:cs="Times New Roman"/>
          <w:sz w:val="24"/>
          <w:szCs w:val="24"/>
        </w:rPr>
        <w:t xml:space="preserve">the ability of citizens to reuse </w:t>
      </w:r>
      <w:r w:rsidR="00251BE5" w:rsidRPr="008832DF">
        <w:rPr>
          <w:rFonts w:ascii="Garamond" w:hAnsi="Garamond" w:cs="Times New Roman"/>
          <w:sz w:val="24"/>
          <w:szCs w:val="24"/>
        </w:rPr>
        <w:t>that information</w:t>
      </w:r>
      <w:r w:rsidRPr="008832DF">
        <w:rPr>
          <w:rFonts w:ascii="Garamond" w:hAnsi="Garamond" w:cs="Times New Roman"/>
          <w:sz w:val="24"/>
          <w:szCs w:val="24"/>
        </w:rPr>
        <w:t xml:space="preserve">. </w:t>
      </w:r>
      <w:r w:rsidR="00251BE5" w:rsidRPr="008832DF">
        <w:rPr>
          <w:rFonts w:ascii="Garamond" w:hAnsi="Garamond" w:cs="Times New Roman"/>
          <w:sz w:val="24"/>
          <w:szCs w:val="24"/>
        </w:rPr>
        <w:t>For that purpose</w:t>
      </w:r>
      <w:r w:rsidRPr="008832DF">
        <w:rPr>
          <w:rFonts w:ascii="Garamond" w:hAnsi="Garamond" w:cs="Times New Roman"/>
          <w:sz w:val="24"/>
          <w:szCs w:val="24"/>
        </w:rPr>
        <w:t xml:space="preserve">, the public must be able to rely on the assistance that </w:t>
      </w:r>
      <w:r w:rsidR="00251BE5" w:rsidRPr="008832DF">
        <w:rPr>
          <w:rFonts w:ascii="Garamond" w:hAnsi="Garamond" w:cs="Times New Roman"/>
          <w:sz w:val="24"/>
          <w:szCs w:val="24"/>
        </w:rPr>
        <w:t>governments</w:t>
      </w:r>
      <w:r w:rsidRPr="008832DF">
        <w:rPr>
          <w:rFonts w:ascii="Garamond" w:hAnsi="Garamond" w:cs="Times New Roman"/>
          <w:sz w:val="24"/>
          <w:szCs w:val="24"/>
        </w:rPr>
        <w:t xml:space="preserve"> are </w:t>
      </w:r>
      <w:r w:rsidR="00251BE5" w:rsidRPr="008832DF">
        <w:rPr>
          <w:rFonts w:ascii="Garamond" w:hAnsi="Garamond" w:cs="Times New Roman"/>
          <w:sz w:val="24"/>
          <w:szCs w:val="24"/>
        </w:rPr>
        <w:t xml:space="preserve">expected </w:t>
      </w:r>
      <w:r w:rsidRPr="008832DF">
        <w:rPr>
          <w:rFonts w:ascii="Garamond" w:hAnsi="Garamond" w:cs="Times New Roman"/>
          <w:sz w:val="24"/>
          <w:szCs w:val="24"/>
        </w:rPr>
        <w:t xml:space="preserve">to give them </w:t>
      </w:r>
      <w:r w:rsidR="00251BE5" w:rsidRPr="008832DF">
        <w:rPr>
          <w:rFonts w:ascii="Garamond" w:hAnsi="Garamond" w:cs="Times New Roman"/>
          <w:sz w:val="24"/>
          <w:szCs w:val="24"/>
        </w:rPr>
        <w:t>to ensure they can exercise that</w:t>
      </w:r>
      <w:r w:rsidRPr="008832DF">
        <w:rPr>
          <w:rFonts w:ascii="Garamond" w:hAnsi="Garamond" w:cs="Times New Roman"/>
          <w:sz w:val="24"/>
          <w:szCs w:val="24"/>
        </w:rPr>
        <w:t xml:space="preserve"> right. </w:t>
      </w:r>
      <w:r w:rsidR="00251BE5" w:rsidRPr="008832DF">
        <w:rPr>
          <w:rFonts w:ascii="Garamond" w:hAnsi="Garamond" w:cs="Times New Roman"/>
          <w:sz w:val="24"/>
          <w:szCs w:val="24"/>
        </w:rPr>
        <w:t>Government bodies</w:t>
      </w:r>
      <w:r w:rsidRPr="008832DF">
        <w:rPr>
          <w:rFonts w:ascii="Garamond" w:hAnsi="Garamond" w:cs="Times New Roman"/>
          <w:sz w:val="24"/>
          <w:szCs w:val="24"/>
        </w:rPr>
        <w:t xml:space="preserve"> therefore bear the responsibility for </w:t>
      </w:r>
      <w:r w:rsidR="00251BE5" w:rsidRPr="008832DF">
        <w:rPr>
          <w:rFonts w:ascii="Garamond" w:hAnsi="Garamond" w:cs="Times New Roman"/>
          <w:sz w:val="24"/>
          <w:szCs w:val="24"/>
        </w:rPr>
        <w:t>implementing each citizen’s</w:t>
      </w:r>
      <w:r w:rsidRPr="008832DF">
        <w:rPr>
          <w:rFonts w:ascii="Garamond" w:hAnsi="Garamond" w:cs="Times New Roman"/>
          <w:sz w:val="24"/>
          <w:szCs w:val="24"/>
        </w:rPr>
        <w:t xml:space="preserve"> right to access and reuse public information.</w:t>
      </w:r>
      <w:r w:rsidR="004526CD" w:rsidRPr="008832DF">
        <w:rPr>
          <w:rFonts w:ascii="Garamond" w:hAnsi="Garamond" w:cs="Times New Roman"/>
          <w:sz w:val="24"/>
          <w:szCs w:val="24"/>
        </w:rPr>
        <w:t xml:space="preserve"> In this respect the Council of Europe Convention on Access to Official Documents</w:t>
      </w:r>
      <w:r w:rsidR="00C91529" w:rsidRPr="008832DF">
        <w:rPr>
          <w:rFonts w:ascii="Garamond" w:hAnsi="Garamond" w:cs="Times New Roman"/>
          <w:sz w:val="24"/>
          <w:szCs w:val="24"/>
        </w:rPr>
        <w:t xml:space="preserve"> claims from its Preamble that </w:t>
      </w:r>
      <w:r w:rsidR="004526CD" w:rsidRPr="008832DF">
        <w:rPr>
          <w:rFonts w:ascii="Garamond" w:hAnsi="Garamond" w:cs="Times New Roman"/>
          <w:sz w:val="24"/>
          <w:szCs w:val="24"/>
        </w:rPr>
        <w:t>t</w:t>
      </w:r>
      <w:r w:rsidR="00C91529" w:rsidRPr="008832DF">
        <w:rPr>
          <w:rFonts w:ascii="Garamond" w:hAnsi="Garamond" w:cs="Times New Roman"/>
          <w:sz w:val="24"/>
          <w:szCs w:val="24"/>
        </w:rPr>
        <w:t>he right to access</w:t>
      </w:r>
      <w:r w:rsidR="004526CD" w:rsidRPr="008832DF">
        <w:rPr>
          <w:rFonts w:ascii="Garamond" w:hAnsi="Garamond" w:cs="Times New Roman"/>
          <w:sz w:val="24"/>
          <w:szCs w:val="24"/>
        </w:rPr>
        <w:t xml:space="preserve"> to official documents </w:t>
      </w:r>
      <w:r w:rsidR="00C91529" w:rsidRPr="008832DF">
        <w:rPr>
          <w:rFonts w:ascii="Garamond" w:hAnsi="Garamond" w:cs="Times New Roman"/>
          <w:sz w:val="24"/>
          <w:szCs w:val="24"/>
        </w:rPr>
        <w:t>“</w:t>
      </w:r>
      <w:r w:rsidR="004526CD" w:rsidRPr="008832DF">
        <w:rPr>
          <w:rFonts w:ascii="Garamond" w:hAnsi="Garamond" w:cs="Times New Roman"/>
          <w:sz w:val="24"/>
          <w:szCs w:val="24"/>
        </w:rPr>
        <w:t>fosters the integrity, efficiency, effectiveness and accountability of public authorities, so h</w:t>
      </w:r>
      <w:r w:rsidR="00C91529" w:rsidRPr="008832DF">
        <w:rPr>
          <w:rFonts w:ascii="Garamond" w:hAnsi="Garamond" w:cs="Times New Roman"/>
          <w:sz w:val="24"/>
          <w:szCs w:val="24"/>
        </w:rPr>
        <w:t>elping affirm their legitimacy.”</w:t>
      </w:r>
      <w:r w:rsidR="00D45225" w:rsidRPr="008832DF">
        <w:rPr>
          <w:rStyle w:val="Appelnotedebasdep"/>
          <w:rFonts w:ascii="Garamond" w:hAnsi="Garamond" w:cs="Times New Roman"/>
          <w:sz w:val="24"/>
          <w:szCs w:val="24"/>
        </w:rPr>
        <w:footnoteReference w:id="24"/>
      </w:r>
    </w:p>
    <w:p w14:paraId="3D46FBC9" w14:textId="77777777" w:rsidR="004D4FBE" w:rsidRPr="008832DF" w:rsidRDefault="004D4FBE" w:rsidP="000B39D7">
      <w:pPr>
        <w:spacing w:after="0" w:line="240" w:lineRule="auto"/>
        <w:jc w:val="both"/>
        <w:rPr>
          <w:rFonts w:ascii="Garamond" w:hAnsi="Garamond" w:cs="Times New Roman"/>
          <w:sz w:val="24"/>
          <w:szCs w:val="24"/>
        </w:rPr>
      </w:pPr>
      <w:r w:rsidRPr="00624BE6">
        <w:rPr>
          <w:rFonts w:ascii="Garamond" w:hAnsi="Garamond" w:cs="Times New Roman"/>
          <w:spacing w:val="-4"/>
          <w:sz w:val="24"/>
          <w:szCs w:val="24"/>
        </w:rPr>
        <w:t xml:space="preserve">In other words, precisely because of their duty to assist the public in accessing public information, </w:t>
      </w:r>
      <w:r w:rsidR="00251BE5" w:rsidRPr="00624BE6">
        <w:rPr>
          <w:rFonts w:ascii="Garamond" w:hAnsi="Garamond" w:cs="Times New Roman"/>
          <w:spacing w:val="-4"/>
          <w:sz w:val="24"/>
          <w:szCs w:val="24"/>
        </w:rPr>
        <w:t>government bodies bear</w:t>
      </w:r>
      <w:r w:rsidR="00251BE5" w:rsidRPr="008832DF">
        <w:rPr>
          <w:rFonts w:ascii="Garamond" w:hAnsi="Garamond" w:cs="Times New Roman"/>
          <w:sz w:val="24"/>
          <w:szCs w:val="24"/>
        </w:rPr>
        <w:t xml:space="preserve"> responsibility </w:t>
      </w:r>
      <w:r w:rsidRPr="008832DF">
        <w:rPr>
          <w:rFonts w:ascii="Garamond" w:hAnsi="Garamond" w:cs="Times New Roman"/>
          <w:sz w:val="24"/>
          <w:szCs w:val="24"/>
        </w:rPr>
        <w:t xml:space="preserve">for strengthening democracy in </w:t>
      </w:r>
      <w:r w:rsidR="00251BE5" w:rsidRPr="008832DF">
        <w:rPr>
          <w:rFonts w:ascii="Garamond" w:hAnsi="Garamond" w:cs="Times New Roman"/>
          <w:sz w:val="24"/>
          <w:szCs w:val="24"/>
        </w:rPr>
        <w:t>all countries governed by the rule of law</w:t>
      </w:r>
      <w:r w:rsidRPr="008832DF">
        <w:rPr>
          <w:rFonts w:ascii="Garamond" w:hAnsi="Garamond" w:cs="Times New Roman"/>
          <w:sz w:val="24"/>
          <w:szCs w:val="24"/>
        </w:rPr>
        <w:t>.</w:t>
      </w:r>
    </w:p>
    <w:p w14:paraId="67362010" w14:textId="3471C9F6" w:rsidR="004D4FBE" w:rsidRPr="008832DF" w:rsidRDefault="004D4FBE" w:rsidP="000B39D7">
      <w:pPr>
        <w:spacing w:after="0" w:line="240" w:lineRule="auto"/>
        <w:jc w:val="both"/>
        <w:rPr>
          <w:rFonts w:ascii="Garamond" w:hAnsi="Garamond" w:cs="Times New Roman"/>
          <w:sz w:val="24"/>
          <w:szCs w:val="24"/>
        </w:rPr>
      </w:pPr>
      <w:r w:rsidRPr="008832DF">
        <w:rPr>
          <w:rFonts w:ascii="Garamond" w:hAnsi="Garamond" w:cs="Times New Roman"/>
          <w:sz w:val="24"/>
          <w:szCs w:val="24"/>
        </w:rPr>
        <w:t xml:space="preserve">Finally, in order to take note of this trend </w:t>
      </w:r>
      <w:r w:rsidR="00F04CD7" w:rsidRPr="008832DF">
        <w:rPr>
          <w:rFonts w:ascii="Garamond" w:hAnsi="Garamond" w:cs="Times New Roman"/>
          <w:sz w:val="24"/>
          <w:szCs w:val="24"/>
        </w:rPr>
        <w:t>towards</w:t>
      </w:r>
      <w:r w:rsidR="00251BE5" w:rsidRPr="008832DF">
        <w:rPr>
          <w:rFonts w:ascii="Garamond" w:hAnsi="Garamond" w:cs="Times New Roman"/>
          <w:sz w:val="24"/>
          <w:szCs w:val="24"/>
        </w:rPr>
        <w:t xml:space="preserve"> a broader</w:t>
      </w:r>
      <w:r w:rsidRPr="008832DF">
        <w:rPr>
          <w:rFonts w:ascii="Garamond" w:hAnsi="Garamond" w:cs="Times New Roman"/>
          <w:sz w:val="24"/>
          <w:szCs w:val="24"/>
        </w:rPr>
        <w:t xml:space="preserve"> right of access to public information, </w:t>
      </w:r>
      <w:r w:rsidR="004079C3" w:rsidRPr="008832DF">
        <w:rPr>
          <w:rFonts w:ascii="Garamond" w:hAnsi="Garamond" w:cs="Times New Roman"/>
          <w:sz w:val="24"/>
          <w:szCs w:val="24"/>
        </w:rPr>
        <w:t>we must note the restrictions to which it may be subject</w:t>
      </w:r>
      <w:r w:rsidRPr="008832DF">
        <w:rPr>
          <w:rFonts w:ascii="Garamond" w:hAnsi="Garamond" w:cs="Times New Roman"/>
          <w:sz w:val="24"/>
          <w:szCs w:val="24"/>
        </w:rPr>
        <w:t xml:space="preserve">. In addition to the </w:t>
      </w:r>
      <w:r w:rsidR="00251BE5" w:rsidRPr="008832DF">
        <w:rPr>
          <w:rFonts w:ascii="Garamond" w:hAnsi="Garamond" w:cs="Times New Roman"/>
          <w:sz w:val="24"/>
          <w:szCs w:val="24"/>
        </w:rPr>
        <w:t>restrictions on</w:t>
      </w:r>
      <w:r w:rsidRPr="008832DF">
        <w:rPr>
          <w:rFonts w:ascii="Garamond" w:hAnsi="Garamond" w:cs="Times New Roman"/>
          <w:sz w:val="24"/>
          <w:szCs w:val="24"/>
        </w:rPr>
        <w:t xml:space="preserve"> refusal</w:t>
      </w:r>
      <w:r w:rsidR="00251BE5" w:rsidRPr="008832DF">
        <w:rPr>
          <w:rFonts w:ascii="Garamond" w:hAnsi="Garamond" w:cs="Times New Roman"/>
          <w:sz w:val="24"/>
          <w:szCs w:val="24"/>
        </w:rPr>
        <w:t>s</w:t>
      </w:r>
      <w:r w:rsidRPr="008832DF">
        <w:rPr>
          <w:rFonts w:ascii="Garamond" w:hAnsi="Garamond" w:cs="Times New Roman"/>
          <w:sz w:val="24"/>
          <w:szCs w:val="24"/>
        </w:rPr>
        <w:t xml:space="preserve"> that we have just mentioned, the </w:t>
      </w:r>
      <w:r w:rsidR="004079C3" w:rsidRPr="008832DF">
        <w:rPr>
          <w:rFonts w:ascii="Garamond" w:hAnsi="Garamond" w:cs="Times New Roman"/>
          <w:sz w:val="24"/>
          <w:szCs w:val="24"/>
        </w:rPr>
        <w:t>above-cited</w:t>
      </w:r>
      <w:r w:rsidRPr="008832DF">
        <w:rPr>
          <w:rFonts w:ascii="Garamond" w:hAnsi="Garamond" w:cs="Times New Roman"/>
          <w:sz w:val="24"/>
          <w:szCs w:val="24"/>
        </w:rPr>
        <w:t xml:space="preserve"> Conventions clearly establish limits </w:t>
      </w:r>
      <w:r w:rsidR="004079C3" w:rsidRPr="008832DF">
        <w:rPr>
          <w:rFonts w:ascii="Garamond" w:hAnsi="Garamond" w:cs="Times New Roman"/>
          <w:sz w:val="24"/>
          <w:szCs w:val="24"/>
        </w:rPr>
        <w:t xml:space="preserve">on </w:t>
      </w:r>
      <w:r w:rsidRPr="008832DF">
        <w:rPr>
          <w:rFonts w:ascii="Garamond" w:hAnsi="Garamond" w:cs="Times New Roman"/>
          <w:sz w:val="24"/>
          <w:szCs w:val="24"/>
        </w:rPr>
        <w:t xml:space="preserve">the right of access to public information. These limits </w:t>
      </w:r>
      <w:r w:rsidR="004079C3" w:rsidRPr="008832DF">
        <w:rPr>
          <w:rFonts w:ascii="Garamond" w:hAnsi="Garamond" w:cs="Times New Roman"/>
          <w:sz w:val="24"/>
          <w:szCs w:val="24"/>
        </w:rPr>
        <w:t xml:space="preserve">derive </w:t>
      </w:r>
      <w:r w:rsidRPr="008832DF">
        <w:rPr>
          <w:rFonts w:ascii="Garamond" w:hAnsi="Garamond" w:cs="Times New Roman"/>
          <w:sz w:val="24"/>
          <w:szCs w:val="24"/>
        </w:rPr>
        <w:t xml:space="preserve">in part </w:t>
      </w:r>
      <w:r w:rsidR="004079C3" w:rsidRPr="008832DF">
        <w:rPr>
          <w:rFonts w:ascii="Garamond" w:hAnsi="Garamond" w:cs="Times New Roman"/>
          <w:sz w:val="24"/>
          <w:szCs w:val="24"/>
        </w:rPr>
        <w:t>from</w:t>
      </w:r>
      <w:r w:rsidRPr="008832DF">
        <w:rPr>
          <w:rFonts w:ascii="Garamond" w:hAnsi="Garamond" w:cs="Times New Roman"/>
          <w:sz w:val="24"/>
          <w:szCs w:val="24"/>
        </w:rPr>
        <w:t xml:space="preserve"> the territorial application of </w:t>
      </w:r>
      <w:r w:rsidR="004079C3" w:rsidRPr="008832DF">
        <w:rPr>
          <w:rFonts w:ascii="Garamond" w:hAnsi="Garamond" w:cs="Times New Roman"/>
          <w:sz w:val="24"/>
          <w:szCs w:val="24"/>
        </w:rPr>
        <w:t xml:space="preserve">those </w:t>
      </w:r>
      <w:r w:rsidRPr="00624BE6">
        <w:rPr>
          <w:rFonts w:ascii="Garamond" w:hAnsi="Garamond" w:cs="Times New Roman"/>
          <w:spacing w:val="-4"/>
          <w:sz w:val="24"/>
          <w:szCs w:val="24"/>
        </w:rPr>
        <w:t>conventions. They must also meet certain requirements</w:t>
      </w:r>
      <w:r w:rsidR="004079C3" w:rsidRPr="00624BE6">
        <w:rPr>
          <w:rFonts w:ascii="Garamond" w:hAnsi="Garamond" w:cs="Times New Roman"/>
          <w:spacing w:val="-4"/>
          <w:sz w:val="24"/>
          <w:szCs w:val="24"/>
        </w:rPr>
        <w:t xml:space="preserve">; </w:t>
      </w:r>
      <w:r w:rsidRPr="00624BE6">
        <w:rPr>
          <w:rFonts w:ascii="Garamond" w:hAnsi="Garamond" w:cs="Times New Roman"/>
          <w:spacing w:val="-4"/>
          <w:sz w:val="24"/>
          <w:szCs w:val="24"/>
        </w:rPr>
        <w:t>namely</w:t>
      </w:r>
      <w:r w:rsidR="004079C3" w:rsidRPr="00624BE6">
        <w:rPr>
          <w:rFonts w:ascii="Garamond" w:hAnsi="Garamond" w:cs="Times New Roman"/>
          <w:spacing w:val="-4"/>
          <w:sz w:val="24"/>
          <w:szCs w:val="24"/>
        </w:rPr>
        <w:t xml:space="preserve">, they </w:t>
      </w:r>
      <w:r w:rsidR="00B96223" w:rsidRPr="00624BE6">
        <w:rPr>
          <w:rFonts w:ascii="Garamond" w:hAnsi="Garamond" w:cs="Times New Roman"/>
          <w:spacing w:val="-4"/>
          <w:sz w:val="24"/>
          <w:szCs w:val="24"/>
        </w:rPr>
        <w:t>“</w:t>
      </w:r>
      <w:r w:rsidR="00512634" w:rsidRPr="00624BE6">
        <w:rPr>
          <w:rFonts w:ascii="Garamond" w:hAnsi="Garamond" w:cs="Times New Roman"/>
          <w:spacing w:val="-4"/>
          <w:sz w:val="24"/>
          <w:szCs w:val="24"/>
        </w:rPr>
        <w:t>shall be set down precisely in law, be necessary in a democratic</w:t>
      </w:r>
      <w:r w:rsidRPr="00624BE6">
        <w:rPr>
          <w:rFonts w:ascii="Garamond" w:hAnsi="Garamond" w:cs="Times New Roman"/>
          <w:spacing w:val="-4"/>
          <w:sz w:val="24"/>
          <w:szCs w:val="24"/>
        </w:rPr>
        <w:t xml:space="preserve"> society and be proportionate to the </w:t>
      </w:r>
      <w:r w:rsidR="00512634" w:rsidRPr="00624BE6">
        <w:rPr>
          <w:rFonts w:ascii="Garamond" w:hAnsi="Garamond" w:cs="Times New Roman"/>
          <w:spacing w:val="-4"/>
          <w:sz w:val="24"/>
          <w:szCs w:val="24"/>
        </w:rPr>
        <w:t>aim of</w:t>
      </w:r>
      <w:r w:rsidR="00512634" w:rsidRPr="008832DF">
        <w:rPr>
          <w:rFonts w:ascii="Garamond" w:hAnsi="Garamond" w:cs="Times New Roman"/>
          <w:sz w:val="24"/>
          <w:szCs w:val="24"/>
        </w:rPr>
        <w:t xml:space="preserve"> </w:t>
      </w:r>
      <w:r w:rsidRPr="008832DF">
        <w:rPr>
          <w:rFonts w:ascii="Garamond" w:hAnsi="Garamond" w:cs="Times New Roman"/>
          <w:sz w:val="24"/>
          <w:szCs w:val="24"/>
        </w:rPr>
        <w:t>protect</w:t>
      </w:r>
      <w:r w:rsidR="00512634" w:rsidRPr="008832DF">
        <w:rPr>
          <w:rFonts w:ascii="Garamond" w:hAnsi="Garamond" w:cs="Times New Roman"/>
          <w:sz w:val="24"/>
          <w:szCs w:val="24"/>
        </w:rPr>
        <w:t>ion</w:t>
      </w:r>
      <w:r w:rsidRPr="008832DF">
        <w:rPr>
          <w:rFonts w:ascii="Garamond" w:hAnsi="Garamond" w:cs="Times New Roman"/>
          <w:sz w:val="24"/>
          <w:szCs w:val="24"/>
        </w:rPr>
        <w:t>.</w:t>
      </w:r>
      <w:r w:rsidR="00B96223" w:rsidRPr="008832DF">
        <w:rPr>
          <w:rFonts w:ascii="Garamond" w:hAnsi="Garamond" w:cs="Times New Roman"/>
          <w:sz w:val="24"/>
          <w:szCs w:val="24"/>
        </w:rPr>
        <w:t>”</w:t>
      </w:r>
      <w:r w:rsidR="00D4211B" w:rsidRPr="008832DF">
        <w:rPr>
          <w:rStyle w:val="Appelnotedebasdep"/>
          <w:rFonts w:ascii="Garamond" w:hAnsi="Garamond" w:cs="Times New Roman"/>
          <w:sz w:val="24"/>
          <w:szCs w:val="24"/>
        </w:rPr>
        <w:footnoteReference w:id="25"/>
      </w:r>
    </w:p>
    <w:p w14:paraId="2279020C" w14:textId="20BDF89E" w:rsidR="00FE6DDF" w:rsidRPr="008832DF" w:rsidRDefault="004D4FBE" w:rsidP="000B39D7">
      <w:pPr>
        <w:spacing w:line="240" w:lineRule="auto"/>
        <w:jc w:val="both"/>
        <w:rPr>
          <w:rFonts w:ascii="Garamond" w:hAnsi="Garamond" w:cs="Times New Roman"/>
          <w:sz w:val="24"/>
          <w:szCs w:val="24"/>
        </w:rPr>
      </w:pPr>
      <w:r w:rsidRPr="008832DF">
        <w:rPr>
          <w:rFonts w:ascii="Garamond" w:hAnsi="Garamond" w:cs="Times New Roman"/>
          <w:sz w:val="24"/>
          <w:szCs w:val="24"/>
        </w:rPr>
        <w:t xml:space="preserve">In </w:t>
      </w:r>
      <w:r w:rsidR="004079C3" w:rsidRPr="008832DF">
        <w:rPr>
          <w:rFonts w:ascii="Garamond" w:hAnsi="Garamond" w:cs="Times New Roman"/>
          <w:sz w:val="24"/>
          <w:szCs w:val="24"/>
        </w:rPr>
        <w:t>sum</w:t>
      </w:r>
      <w:r w:rsidRPr="008832DF">
        <w:rPr>
          <w:rFonts w:ascii="Garamond" w:hAnsi="Garamond" w:cs="Times New Roman"/>
          <w:sz w:val="24"/>
          <w:szCs w:val="24"/>
        </w:rPr>
        <w:t xml:space="preserve">, the right of access to public information now plays a central role in the organization of political power, the development of the democratic process and the strengthening of human rights. It is therefore both the </w:t>
      </w:r>
      <w:r w:rsidR="004079C3" w:rsidRPr="008832DF">
        <w:rPr>
          <w:rFonts w:ascii="Garamond" w:hAnsi="Garamond" w:cs="Times New Roman"/>
          <w:sz w:val="24"/>
          <w:szCs w:val="24"/>
        </w:rPr>
        <w:t>vehicle for</w:t>
      </w:r>
      <w:r w:rsidRPr="008832DF">
        <w:rPr>
          <w:rFonts w:ascii="Garamond" w:hAnsi="Garamond" w:cs="Times New Roman"/>
          <w:sz w:val="24"/>
          <w:szCs w:val="24"/>
        </w:rPr>
        <w:t xml:space="preserve"> a new social contract and one of the cornerstones of a common heritage of values and principles shared by pluralist democracies.</w:t>
      </w:r>
      <w:r w:rsidR="00D4211B" w:rsidRPr="008832DF">
        <w:rPr>
          <w:rFonts w:ascii="Garamond" w:hAnsi="Garamond" w:cs="Times New Roman"/>
          <w:sz w:val="24"/>
          <w:szCs w:val="24"/>
        </w:rPr>
        <w:t xml:space="preserve"> And even “in countries still emerging from authoritarian regimes or where corruption is widespread, proactive disclosure permits anonymous access and so gives some protection to applicants from weaker segments of </w:t>
      </w:r>
      <w:r w:rsidR="00D4211B" w:rsidRPr="008832DF">
        <w:rPr>
          <w:rFonts w:ascii="Garamond" w:hAnsi="Garamond" w:cs="Times New Roman"/>
          <w:sz w:val="24"/>
          <w:szCs w:val="24"/>
        </w:rPr>
        <w:lastRenderedPageBreak/>
        <w:t>society who might not feel comfortable writing to government bodies to ask for information for fear of repercussions.”</w:t>
      </w:r>
      <w:r w:rsidR="00D4211B" w:rsidRPr="008832DF">
        <w:rPr>
          <w:rStyle w:val="Appelnotedebasdep"/>
          <w:rFonts w:ascii="Garamond" w:hAnsi="Garamond" w:cs="Times New Roman"/>
          <w:sz w:val="24"/>
          <w:szCs w:val="24"/>
        </w:rPr>
        <w:footnoteReference w:id="26"/>
      </w:r>
      <w:r w:rsidR="00D4211B" w:rsidRPr="008832DF">
        <w:rPr>
          <w:rFonts w:ascii="Garamond" w:hAnsi="Garamond" w:cs="Times New Roman"/>
          <w:sz w:val="24"/>
          <w:szCs w:val="24"/>
        </w:rPr>
        <w:t xml:space="preserve"> </w:t>
      </w:r>
    </w:p>
    <w:sectPr w:rsidR="00FE6DDF" w:rsidRPr="008832DF" w:rsidSect="004F0B39">
      <w:headerReference w:type="even" r:id="rId8"/>
      <w:headerReference w:type="default" r:id="rId9"/>
      <w:footerReference w:type="even" r:id="rId10"/>
      <w:footerReference w:type="default" r:id="rId11"/>
      <w:headerReference w:type="first" r:id="rId12"/>
      <w:footerReference w:type="first" r:id="rId13"/>
      <w:pgSz w:w="11906" w:h="16838"/>
      <w:pgMar w:top="1440" w:right="2880" w:bottom="1440" w:left="28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33E38" w14:textId="77777777" w:rsidR="00622195" w:rsidRDefault="00622195" w:rsidP="00AE6CA3">
      <w:pPr>
        <w:spacing w:after="0" w:line="240" w:lineRule="auto"/>
      </w:pPr>
      <w:r>
        <w:separator/>
      </w:r>
    </w:p>
  </w:endnote>
  <w:endnote w:type="continuationSeparator" w:id="0">
    <w:p w14:paraId="349AA2F7" w14:textId="77777777" w:rsidR="00622195" w:rsidRDefault="00622195" w:rsidP="00AE6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Minion Pro">
    <w:altName w:val="Luminari"/>
    <w:charset w:val="00"/>
    <w:family w:val="auto"/>
    <w:pitch w:val="variable"/>
    <w:sig w:usb0="60000287" w:usb1="00000001" w:usb2="00000000" w:usb3="00000000" w:csb0="0000019F" w:csb1="00000000"/>
  </w:font>
  <w:font w:name="HelveticaNeue-Light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D9BAC" w14:textId="77777777" w:rsidR="002F65A1" w:rsidRDefault="002F65A1">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DD987" w14:textId="716F0526" w:rsidR="000B39D7" w:rsidRPr="00687E5A" w:rsidRDefault="000B39D7" w:rsidP="005F38B1">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0A5A0B">
      <w:rPr>
        <w:rStyle w:val="Numrodepage"/>
        <w:noProof/>
      </w:rPr>
      <w:t>4</w:t>
    </w:r>
    <w:r w:rsidRPr="00687E5A">
      <w:rPr>
        <w:rStyle w:val="Numrodepage"/>
      </w:rPr>
      <w:fldChar w:fldCharType="end"/>
    </w:r>
    <w:r>
      <w:rPr>
        <w:rStyle w:val="Numrodepage"/>
      </w:rPr>
      <w:t xml:space="preserve"> –</w:t>
    </w:r>
  </w:p>
  <w:p w14:paraId="001832C7" w14:textId="77777777" w:rsidR="000B39D7" w:rsidRPr="008C718B" w:rsidRDefault="000B39D7" w:rsidP="000B39D7">
    <w:pPr>
      <w:pStyle w:val="Pieddepage"/>
      <w:jc w:val="center"/>
      <w:rPr>
        <w:b/>
        <w:color w:val="0070C0"/>
        <w:sz w:val="16"/>
        <w:szCs w:val="16"/>
      </w:rPr>
    </w:pPr>
    <w:r w:rsidRPr="008C718B">
      <w:rPr>
        <w:b/>
        <w:color w:val="0070C0"/>
        <w:sz w:val="16"/>
        <w:szCs w:val="16"/>
      </w:rPr>
      <w:t>International Journal of Open Government</w:t>
    </w:r>
  </w:p>
  <w:p w14:paraId="17C6F8CC" w14:textId="747BB923" w:rsidR="004D6241" w:rsidRPr="000B39D7" w:rsidRDefault="00622195" w:rsidP="000B39D7">
    <w:pPr>
      <w:pStyle w:val="Pieddepage"/>
      <w:jc w:val="center"/>
      <w:rPr>
        <w:i/>
        <w:color w:val="0070C0"/>
        <w:sz w:val="16"/>
        <w:szCs w:val="16"/>
      </w:rPr>
    </w:pPr>
    <w:hyperlink r:id="rId1" w:history="1">
      <w:r w:rsidR="000B39D7" w:rsidRPr="008C718B">
        <w:rPr>
          <w:i/>
          <w:color w:val="0070C0"/>
          <w:sz w:val="16"/>
          <w:szCs w:val="16"/>
        </w:rPr>
        <w:t>http://ojs.imodev.org/index.php?journal=RIGO</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4D133" w14:textId="5ACC575A" w:rsidR="00C94733" w:rsidRPr="00687E5A" w:rsidRDefault="00C94733" w:rsidP="00C94733">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0A5A0B">
      <w:rPr>
        <w:rStyle w:val="Numrodepage"/>
        <w:noProof/>
      </w:rPr>
      <w:t>1</w:t>
    </w:r>
    <w:r w:rsidRPr="00687E5A">
      <w:rPr>
        <w:rStyle w:val="Numrodepage"/>
      </w:rPr>
      <w:fldChar w:fldCharType="end"/>
    </w:r>
    <w:r>
      <w:rPr>
        <w:rStyle w:val="Numrodepage"/>
      </w:rPr>
      <w:t xml:space="preserve"> –</w:t>
    </w:r>
  </w:p>
  <w:p w14:paraId="1C3A5291" w14:textId="77777777" w:rsidR="00C94733" w:rsidRPr="008C718B" w:rsidRDefault="00C94733" w:rsidP="00C94733">
    <w:pPr>
      <w:pStyle w:val="Pieddepage"/>
      <w:jc w:val="center"/>
      <w:rPr>
        <w:b/>
        <w:color w:val="0070C0"/>
        <w:sz w:val="16"/>
        <w:szCs w:val="16"/>
      </w:rPr>
    </w:pPr>
    <w:r w:rsidRPr="008C718B">
      <w:rPr>
        <w:b/>
        <w:color w:val="0070C0"/>
        <w:sz w:val="16"/>
        <w:szCs w:val="16"/>
      </w:rPr>
      <w:t>International Journal of Open Government</w:t>
    </w:r>
  </w:p>
  <w:p w14:paraId="00FE06A6" w14:textId="24F3C575" w:rsidR="00C94733" w:rsidRPr="00C94733" w:rsidRDefault="00622195" w:rsidP="00C94733">
    <w:pPr>
      <w:pStyle w:val="Pieddepage"/>
      <w:jc w:val="center"/>
      <w:rPr>
        <w:i/>
        <w:color w:val="0070C0"/>
        <w:sz w:val="16"/>
        <w:szCs w:val="16"/>
      </w:rPr>
    </w:pPr>
    <w:hyperlink r:id="rId1" w:history="1">
      <w:r w:rsidR="00C94733" w:rsidRPr="008C718B">
        <w:rPr>
          <w:i/>
          <w:color w:val="0070C0"/>
          <w:sz w:val="16"/>
          <w:szCs w:val="16"/>
        </w:rPr>
        <w:t>http://ojs.imodev.org/index.php?journal=RIGO</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D7C19" w14:textId="77777777" w:rsidR="00622195" w:rsidRDefault="00622195" w:rsidP="00AE6CA3">
      <w:pPr>
        <w:spacing w:after="0" w:line="240" w:lineRule="auto"/>
      </w:pPr>
      <w:r>
        <w:separator/>
      </w:r>
    </w:p>
  </w:footnote>
  <w:footnote w:type="continuationSeparator" w:id="0">
    <w:p w14:paraId="51BF36AE" w14:textId="77777777" w:rsidR="00622195" w:rsidRDefault="00622195" w:rsidP="00AE6CA3">
      <w:pPr>
        <w:spacing w:after="0" w:line="240" w:lineRule="auto"/>
      </w:pPr>
      <w:r>
        <w:continuationSeparator/>
      </w:r>
    </w:p>
  </w:footnote>
  <w:footnote w:id="1">
    <w:p w14:paraId="52160CFA" w14:textId="66215E31" w:rsidR="004477A2" w:rsidRPr="008832DF" w:rsidRDefault="00062237" w:rsidP="000B39D7">
      <w:pPr>
        <w:pStyle w:val="Notedebasdepage"/>
        <w:jc w:val="both"/>
        <w:rPr>
          <w:rFonts w:ascii="Garamond" w:hAnsi="Garamond"/>
          <w:sz w:val="18"/>
          <w:szCs w:val="18"/>
        </w:rPr>
      </w:pPr>
      <w:r w:rsidRPr="008832DF">
        <w:rPr>
          <w:rStyle w:val="Appelnotedebasdep"/>
          <w:rFonts w:ascii="Garamond" w:hAnsi="Garamond"/>
          <w:sz w:val="18"/>
          <w:szCs w:val="18"/>
        </w:rPr>
        <w:footnoteRef/>
      </w:r>
      <w:r w:rsidRPr="008832DF">
        <w:rPr>
          <w:rFonts w:ascii="Garamond" w:hAnsi="Garamond"/>
          <w:sz w:val="18"/>
          <w:szCs w:val="18"/>
        </w:rPr>
        <w:t xml:space="preserve"> </w:t>
      </w:r>
      <w:r w:rsidR="004477A2" w:rsidRPr="008832DF">
        <w:rPr>
          <w:rFonts w:ascii="Garamond" w:hAnsi="Garamond"/>
          <w:sz w:val="18"/>
          <w:szCs w:val="18"/>
        </w:rPr>
        <w:t xml:space="preserve">Freedom of expression is essential in itself, but it </w:t>
      </w:r>
      <w:r w:rsidR="00F04CD7" w:rsidRPr="008832DF">
        <w:rPr>
          <w:rFonts w:ascii="Garamond" w:hAnsi="Garamond"/>
          <w:sz w:val="18"/>
          <w:szCs w:val="18"/>
        </w:rPr>
        <w:t>also protects</w:t>
      </w:r>
      <w:r w:rsidR="004477A2" w:rsidRPr="008832DF">
        <w:rPr>
          <w:rFonts w:ascii="Garamond" w:hAnsi="Garamond"/>
          <w:sz w:val="18"/>
          <w:szCs w:val="18"/>
        </w:rPr>
        <w:t xml:space="preserve"> other rights that are derived. The right of access to public information is one of this.</w:t>
      </w:r>
    </w:p>
    <w:p w14:paraId="1521B9D5" w14:textId="49E2E430" w:rsidR="000B39D7" w:rsidRPr="008832DF" w:rsidRDefault="004477A2" w:rsidP="000B39D7">
      <w:pPr>
        <w:pStyle w:val="Notedebasdepage"/>
        <w:jc w:val="both"/>
        <w:rPr>
          <w:rFonts w:ascii="Garamond" w:hAnsi="Garamond"/>
          <w:sz w:val="18"/>
          <w:szCs w:val="18"/>
        </w:rPr>
      </w:pPr>
      <w:r w:rsidRPr="008832DF">
        <w:rPr>
          <w:rFonts w:ascii="Garamond" w:hAnsi="Garamond"/>
          <w:sz w:val="18"/>
          <w:szCs w:val="18"/>
        </w:rPr>
        <w:t xml:space="preserve">In this regard, the European Court of Human Right </w:t>
      </w:r>
      <w:r w:rsidR="00004A8F" w:rsidRPr="008832DF">
        <w:rPr>
          <w:rFonts w:ascii="Garamond" w:hAnsi="Garamond"/>
          <w:sz w:val="18"/>
          <w:szCs w:val="18"/>
        </w:rPr>
        <w:t xml:space="preserve">considers that </w:t>
      </w:r>
      <w:r w:rsidRPr="008832DF">
        <w:rPr>
          <w:rFonts w:ascii="Garamond" w:hAnsi="Garamond"/>
          <w:sz w:val="18"/>
          <w:szCs w:val="18"/>
        </w:rPr>
        <w:t xml:space="preserve">freedom </w:t>
      </w:r>
      <w:r w:rsidR="00004A8F" w:rsidRPr="008832DF">
        <w:rPr>
          <w:rFonts w:ascii="Garamond" w:hAnsi="Garamond"/>
          <w:sz w:val="18"/>
          <w:szCs w:val="18"/>
        </w:rPr>
        <w:t xml:space="preserve">of expression includes the </w:t>
      </w:r>
      <w:r w:rsidRPr="008832DF">
        <w:rPr>
          <w:rFonts w:ascii="Garamond" w:hAnsi="Garamond"/>
          <w:sz w:val="18"/>
          <w:szCs w:val="18"/>
        </w:rPr>
        <w:t>right of the public to be adequately informed, in particular on matters of public interest</w:t>
      </w:r>
      <w:r w:rsidR="00004A8F" w:rsidRPr="008832DF">
        <w:rPr>
          <w:rFonts w:ascii="Garamond" w:hAnsi="Garamond"/>
          <w:sz w:val="18"/>
          <w:szCs w:val="18"/>
        </w:rPr>
        <w:t xml:space="preserve"> (</w:t>
      </w:r>
      <w:r w:rsidR="00004A8F" w:rsidRPr="008832DF">
        <w:rPr>
          <w:rFonts w:ascii="Garamond" w:hAnsi="Garamond"/>
          <w:i/>
          <w:sz w:val="18"/>
          <w:szCs w:val="18"/>
        </w:rPr>
        <w:t>See</w:t>
      </w:r>
      <w:r w:rsidR="00004A8F" w:rsidRPr="008832DF">
        <w:rPr>
          <w:rFonts w:ascii="Garamond" w:hAnsi="Garamond"/>
          <w:sz w:val="18"/>
          <w:szCs w:val="18"/>
        </w:rPr>
        <w:t xml:space="preserve"> Monica Macovei, </w:t>
      </w:r>
      <w:r w:rsidR="00004A8F" w:rsidRPr="008832DF">
        <w:rPr>
          <w:rFonts w:ascii="Garamond" w:hAnsi="Garamond"/>
          <w:i/>
          <w:sz w:val="18"/>
          <w:szCs w:val="18"/>
        </w:rPr>
        <w:t>Freedom of expression. A guide to the implementation of Article</w:t>
      </w:r>
      <w:r w:rsidR="00CB6176" w:rsidRPr="008832DF">
        <w:rPr>
          <w:rFonts w:ascii="Garamond" w:hAnsi="Garamond"/>
          <w:i/>
          <w:sz w:val="18"/>
          <w:szCs w:val="18"/>
        </w:rPr>
        <w:t> </w:t>
      </w:r>
      <w:r w:rsidR="00004A8F" w:rsidRPr="008832DF">
        <w:rPr>
          <w:rFonts w:ascii="Garamond" w:hAnsi="Garamond"/>
          <w:i/>
          <w:sz w:val="18"/>
          <w:szCs w:val="18"/>
        </w:rPr>
        <w:t>10 of the European Convention on Human Rights</w:t>
      </w:r>
      <w:r w:rsidR="00004A8F" w:rsidRPr="008832DF">
        <w:rPr>
          <w:rFonts w:ascii="Garamond" w:hAnsi="Garamond"/>
          <w:sz w:val="18"/>
          <w:szCs w:val="18"/>
        </w:rPr>
        <w:t>, Human rights handbooks, No.</w:t>
      </w:r>
      <w:r w:rsidR="00CB6176" w:rsidRPr="008832DF">
        <w:rPr>
          <w:rFonts w:ascii="Garamond" w:hAnsi="Garamond"/>
          <w:sz w:val="18"/>
          <w:szCs w:val="18"/>
        </w:rPr>
        <w:t> </w:t>
      </w:r>
      <w:r w:rsidR="00004A8F" w:rsidRPr="008832DF">
        <w:rPr>
          <w:rFonts w:ascii="Garamond" w:hAnsi="Garamond"/>
          <w:sz w:val="18"/>
          <w:szCs w:val="18"/>
        </w:rPr>
        <w:t>2, Council of Europe, 2004).</w:t>
      </w:r>
    </w:p>
    <w:p w14:paraId="7010354E" w14:textId="7E699071" w:rsidR="003B5DAE" w:rsidRPr="008832DF" w:rsidRDefault="00004A8F" w:rsidP="000B39D7">
      <w:pPr>
        <w:pStyle w:val="Notedebasdepage"/>
        <w:jc w:val="both"/>
        <w:rPr>
          <w:rFonts w:ascii="Garamond" w:hAnsi="Garamond"/>
          <w:sz w:val="18"/>
          <w:szCs w:val="18"/>
        </w:rPr>
      </w:pPr>
      <w:r w:rsidRPr="008832DF">
        <w:rPr>
          <w:rFonts w:ascii="Garamond" w:hAnsi="Garamond"/>
          <w:sz w:val="18"/>
          <w:szCs w:val="18"/>
        </w:rPr>
        <w:t>Likewise, t</w:t>
      </w:r>
      <w:r w:rsidR="003B5DAE" w:rsidRPr="008832DF">
        <w:rPr>
          <w:rFonts w:ascii="Garamond" w:hAnsi="Garamond"/>
          <w:sz w:val="18"/>
          <w:szCs w:val="18"/>
        </w:rPr>
        <w:t>he Inter-American Court of Human Rights has established that, according to the protection granted by the American Convention, the right to freedom of thought and expression includes “not only the right and freedom to express one’s own thoughts, but also the right and freedom to seek, receive and impart information and ideas of all kinds.” (Case of López Álvarez. Judgment of February 1, 2006. Series C No.</w:t>
      </w:r>
      <w:r w:rsidR="00CB6176" w:rsidRPr="008832DF">
        <w:rPr>
          <w:rFonts w:ascii="Garamond" w:hAnsi="Garamond"/>
          <w:sz w:val="18"/>
          <w:szCs w:val="18"/>
        </w:rPr>
        <w:t> </w:t>
      </w:r>
      <w:r w:rsidR="003B5DAE" w:rsidRPr="008832DF">
        <w:rPr>
          <w:rFonts w:ascii="Garamond" w:hAnsi="Garamond"/>
          <w:sz w:val="18"/>
          <w:szCs w:val="18"/>
        </w:rPr>
        <w:t>141, para. 163; Case of Palamara Iribarne, Judgment of November 22, 2005. Series C No.</w:t>
      </w:r>
      <w:r w:rsidR="00CB6176" w:rsidRPr="008832DF">
        <w:rPr>
          <w:rFonts w:ascii="Garamond" w:hAnsi="Garamond"/>
          <w:sz w:val="18"/>
          <w:szCs w:val="18"/>
        </w:rPr>
        <w:t> </w:t>
      </w:r>
      <w:r w:rsidR="003B5DAE" w:rsidRPr="008832DF">
        <w:rPr>
          <w:rFonts w:ascii="Garamond" w:hAnsi="Garamond"/>
          <w:sz w:val="18"/>
          <w:szCs w:val="18"/>
        </w:rPr>
        <w:t>135, para. 69; Case of Ricardo Canese, Judgment of August 31, 2004. Series C No.</w:t>
      </w:r>
      <w:r w:rsidR="00CB6176" w:rsidRPr="008832DF">
        <w:rPr>
          <w:rFonts w:ascii="Garamond" w:hAnsi="Garamond"/>
          <w:sz w:val="18"/>
          <w:szCs w:val="18"/>
        </w:rPr>
        <w:t> </w:t>
      </w:r>
      <w:r w:rsidR="003B5DAE" w:rsidRPr="008832DF">
        <w:rPr>
          <w:rFonts w:ascii="Garamond" w:hAnsi="Garamond"/>
          <w:sz w:val="18"/>
          <w:szCs w:val="18"/>
        </w:rPr>
        <w:t>111, paras. 77-80; Case of Herrera Ulloa, Judgment of July 2, 2004. Series C No.</w:t>
      </w:r>
      <w:r w:rsidR="00CB6176" w:rsidRPr="008832DF">
        <w:rPr>
          <w:rFonts w:ascii="Garamond" w:hAnsi="Garamond"/>
          <w:sz w:val="18"/>
          <w:szCs w:val="18"/>
        </w:rPr>
        <w:t> </w:t>
      </w:r>
      <w:r w:rsidR="003B5DAE" w:rsidRPr="008832DF">
        <w:rPr>
          <w:rFonts w:ascii="Garamond" w:hAnsi="Garamond"/>
          <w:sz w:val="18"/>
          <w:szCs w:val="18"/>
        </w:rPr>
        <w:t>107, paras. 108-111; Case of Ivcher Bronstein, Judgment of February 6, 2001. Series C No.</w:t>
      </w:r>
      <w:r w:rsidR="00CB6176" w:rsidRPr="008832DF">
        <w:rPr>
          <w:rFonts w:ascii="Garamond" w:hAnsi="Garamond"/>
          <w:sz w:val="18"/>
          <w:szCs w:val="18"/>
        </w:rPr>
        <w:t> </w:t>
      </w:r>
      <w:r w:rsidR="003B5DAE" w:rsidRPr="008832DF">
        <w:rPr>
          <w:rFonts w:ascii="Garamond" w:hAnsi="Garamond"/>
          <w:sz w:val="18"/>
          <w:szCs w:val="18"/>
        </w:rPr>
        <w:t>74, paras. 146–149; Case of “The Last Temptation of Christ” (Olmedo Bustos et al.), Judgment of February 5, 2001. Series C No.</w:t>
      </w:r>
      <w:r w:rsidR="00CB6176" w:rsidRPr="008832DF">
        <w:rPr>
          <w:rFonts w:ascii="Garamond" w:hAnsi="Garamond"/>
          <w:sz w:val="18"/>
          <w:szCs w:val="18"/>
        </w:rPr>
        <w:t> </w:t>
      </w:r>
      <w:r w:rsidR="003B5DAE" w:rsidRPr="008832DF">
        <w:rPr>
          <w:rFonts w:ascii="Garamond" w:hAnsi="Garamond"/>
          <w:sz w:val="18"/>
          <w:szCs w:val="18"/>
        </w:rPr>
        <w:t>73, paras. 64-67…)</w:t>
      </w:r>
      <w:r w:rsidR="005A2A2F" w:rsidRPr="008832DF">
        <w:rPr>
          <w:rFonts w:ascii="Garamond" w:hAnsi="Garamond"/>
          <w:sz w:val="18"/>
          <w:szCs w:val="18"/>
        </w:rPr>
        <w:t>.</w:t>
      </w:r>
    </w:p>
    <w:p w14:paraId="36546F7A" w14:textId="4968EE4C" w:rsidR="00D831D9" w:rsidRPr="008832DF" w:rsidRDefault="005A2A2F" w:rsidP="000B39D7">
      <w:pPr>
        <w:pStyle w:val="Notedebasdepage"/>
        <w:jc w:val="both"/>
      </w:pPr>
      <w:r w:rsidRPr="008832DF">
        <w:rPr>
          <w:rFonts w:ascii="Garamond" w:hAnsi="Garamond"/>
          <w:sz w:val="18"/>
          <w:szCs w:val="18"/>
        </w:rPr>
        <w:t xml:space="preserve">This freedom of thought and expression includes the right for individuals to request access to State-held information. </w:t>
      </w:r>
      <w:r w:rsidR="003B5DAE" w:rsidRPr="008832DF">
        <w:rPr>
          <w:rFonts w:ascii="Garamond" w:hAnsi="Garamond"/>
          <w:sz w:val="18"/>
          <w:szCs w:val="18"/>
        </w:rPr>
        <w:t>S</w:t>
      </w:r>
      <w:r w:rsidR="003B5DAE" w:rsidRPr="008832DF">
        <w:rPr>
          <w:rFonts w:ascii="Garamond" w:hAnsi="Garamond"/>
          <w:i/>
          <w:sz w:val="18"/>
          <w:szCs w:val="18"/>
        </w:rPr>
        <w:t xml:space="preserve">ee </w:t>
      </w:r>
      <w:r w:rsidR="003B5DAE" w:rsidRPr="008832DF">
        <w:rPr>
          <w:rFonts w:ascii="Garamond" w:hAnsi="Garamond"/>
          <w:sz w:val="18"/>
          <w:szCs w:val="18"/>
        </w:rPr>
        <w:t xml:space="preserve">Case of </w:t>
      </w:r>
      <w:r w:rsidR="003B5DAE" w:rsidRPr="008832DF">
        <w:rPr>
          <w:rFonts w:ascii="Garamond" w:hAnsi="Garamond"/>
          <w:i/>
          <w:sz w:val="18"/>
          <w:szCs w:val="18"/>
        </w:rPr>
        <w:t>Claude-Reyes et al. v. Chile</w:t>
      </w:r>
      <w:r w:rsidR="003B5DAE" w:rsidRPr="008832DF">
        <w:rPr>
          <w:rFonts w:ascii="Garamond" w:hAnsi="Garamond"/>
          <w:sz w:val="18"/>
          <w:szCs w:val="18"/>
        </w:rPr>
        <w:t>, Judgment of September 19, 2006, para</w:t>
      </w:r>
      <w:r w:rsidR="00CB6176" w:rsidRPr="008832DF">
        <w:rPr>
          <w:rFonts w:ascii="Garamond" w:hAnsi="Garamond"/>
          <w:sz w:val="18"/>
          <w:szCs w:val="18"/>
        </w:rPr>
        <w:t> </w:t>
      </w:r>
      <w:r w:rsidR="003B5DAE" w:rsidRPr="008832DF">
        <w:rPr>
          <w:rFonts w:ascii="Garamond" w:hAnsi="Garamond"/>
          <w:sz w:val="18"/>
          <w:szCs w:val="18"/>
        </w:rPr>
        <w:t>77.</w:t>
      </w:r>
    </w:p>
  </w:footnote>
  <w:footnote w:id="2">
    <w:p w14:paraId="3E24EDE7" w14:textId="77777777" w:rsidR="00D831D9" w:rsidRPr="008832DF" w:rsidRDefault="00D831D9" w:rsidP="000B39D7">
      <w:pPr>
        <w:pStyle w:val="Notedebasdepage"/>
        <w:jc w:val="both"/>
        <w:rPr>
          <w:rFonts w:ascii="Garamond" w:hAnsi="Garamond"/>
          <w:sz w:val="18"/>
          <w:szCs w:val="18"/>
        </w:rPr>
      </w:pPr>
      <w:r w:rsidRPr="008832DF">
        <w:rPr>
          <w:rStyle w:val="Appelnotedebasdep"/>
          <w:rFonts w:ascii="Garamond" w:hAnsi="Garamond"/>
          <w:sz w:val="18"/>
          <w:szCs w:val="18"/>
        </w:rPr>
        <w:footnoteRef/>
      </w:r>
      <w:r w:rsidRPr="008832DF">
        <w:rPr>
          <w:rFonts w:ascii="Garamond" w:hAnsi="Garamond"/>
          <w:sz w:val="18"/>
          <w:szCs w:val="18"/>
        </w:rPr>
        <w:t xml:space="preserve"> For an illustration, </w:t>
      </w:r>
      <w:r w:rsidRPr="008832DF">
        <w:rPr>
          <w:rFonts w:ascii="Garamond" w:hAnsi="Garamond"/>
          <w:i/>
          <w:sz w:val="18"/>
          <w:szCs w:val="18"/>
        </w:rPr>
        <w:t>see,</w:t>
      </w:r>
      <w:r w:rsidRPr="008832DF">
        <w:rPr>
          <w:rFonts w:ascii="Garamond" w:hAnsi="Garamond"/>
          <w:sz w:val="18"/>
          <w:szCs w:val="18"/>
        </w:rPr>
        <w:t xml:space="preserve"> for instance, William Gilles, </w:t>
      </w:r>
      <w:r w:rsidRPr="008832DF">
        <w:rPr>
          <w:rFonts w:ascii="Garamond" w:hAnsi="Garamond"/>
          <w:i/>
          <w:sz w:val="18"/>
          <w:szCs w:val="18"/>
        </w:rPr>
        <w:t>Open Data, Democracy and Freedom of Expression in France</w:t>
      </w:r>
      <w:r w:rsidRPr="008832DF">
        <w:rPr>
          <w:rFonts w:ascii="Garamond" w:hAnsi="Garamond"/>
          <w:sz w:val="18"/>
          <w:szCs w:val="18"/>
        </w:rPr>
        <w:t xml:space="preserve">, in </w:t>
      </w:r>
      <w:r w:rsidRPr="008832DF">
        <w:rPr>
          <w:rFonts w:ascii="Garamond" w:hAnsi="Garamond"/>
          <w:smallCaps/>
          <w:sz w:val="18"/>
          <w:szCs w:val="18"/>
        </w:rPr>
        <w:t>Anna-Sara Lind, Jane Reichel &amp; Inger Österdahl</w:t>
      </w:r>
      <w:r w:rsidRPr="008832DF">
        <w:rPr>
          <w:rFonts w:ascii="Garamond" w:hAnsi="Garamond"/>
          <w:sz w:val="18"/>
          <w:szCs w:val="18"/>
        </w:rPr>
        <w:t xml:space="preserve"> (eds), </w:t>
      </w:r>
      <w:r w:rsidRPr="008832DF">
        <w:rPr>
          <w:rFonts w:ascii="Garamond" w:hAnsi="Garamond"/>
          <w:smallCaps/>
          <w:sz w:val="18"/>
          <w:szCs w:val="18"/>
        </w:rPr>
        <w:t>Information and Law in Transition</w:t>
      </w:r>
      <w:r w:rsidRPr="008832DF">
        <w:rPr>
          <w:rFonts w:ascii="Garamond" w:hAnsi="Garamond"/>
          <w:sz w:val="18"/>
          <w:szCs w:val="18"/>
        </w:rPr>
        <w:t xml:space="preserve"> (Liber, 2015).</w:t>
      </w:r>
    </w:p>
  </w:footnote>
  <w:footnote w:id="3">
    <w:p w14:paraId="141931CC" w14:textId="2C73F1F2" w:rsidR="00A17EA7" w:rsidRPr="008832DF" w:rsidRDefault="00A17EA7" w:rsidP="000B39D7">
      <w:pPr>
        <w:pStyle w:val="Notedebasdepage"/>
        <w:jc w:val="both"/>
        <w:rPr>
          <w:rFonts w:ascii="Garamond" w:hAnsi="Garamond"/>
          <w:sz w:val="18"/>
          <w:szCs w:val="18"/>
        </w:rPr>
      </w:pPr>
      <w:r w:rsidRPr="008832DF">
        <w:rPr>
          <w:rStyle w:val="Appelnotedebasdep"/>
          <w:rFonts w:ascii="Garamond" w:hAnsi="Garamond"/>
          <w:sz w:val="18"/>
          <w:szCs w:val="18"/>
        </w:rPr>
        <w:footnoteRef/>
      </w:r>
      <w:r w:rsidRPr="008832DF">
        <w:rPr>
          <w:rFonts w:ascii="Garamond" w:hAnsi="Garamond"/>
          <w:sz w:val="18"/>
          <w:szCs w:val="18"/>
        </w:rPr>
        <w:t xml:space="preserve"> In this regard, Henri Labayle explains, for instance, that “</w:t>
      </w:r>
      <w:r w:rsidRPr="008832DF">
        <w:rPr>
          <w:rFonts w:ascii="Garamond" w:hAnsi="Garamond"/>
          <w:bCs/>
          <w:sz w:val="18"/>
          <w:szCs w:val="18"/>
        </w:rPr>
        <w:t xml:space="preserve">the systematic nature of the triangle of openness/transparency/document access </w:t>
      </w:r>
      <w:r w:rsidRPr="008832DF">
        <w:rPr>
          <w:rFonts w:ascii="Garamond" w:hAnsi="Garamond"/>
          <w:sz w:val="18"/>
          <w:szCs w:val="18"/>
        </w:rPr>
        <w:t xml:space="preserve">is outlined in the Treaty [on European Union]”. </w:t>
      </w:r>
      <w:r w:rsidRPr="008832DF">
        <w:rPr>
          <w:rFonts w:ascii="Garamond" w:hAnsi="Garamond"/>
          <w:i/>
          <w:sz w:val="18"/>
          <w:szCs w:val="18"/>
        </w:rPr>
        <w:t>See</w:t>
      </w:r>
      <w:r w:rsidRPr="008832DF">
        <w:rPr>
          <w:rFonts w:ascii="Garamond" w:hAnsi="Garamond"/>
          <w:sz w:val="18"/>
          <w:szCs w:val="18"/>
        </w:rPr>
        <w:t xml:space="preserve"> </w:t>
      </w:r>
      <w:r w:rsidRPr="008832DF">
        <w:rPr>
          <w:rFonts w:ascii="Garamond" w:hAnsi="Garamond"/>
          <w:smallCaps/>
          <w:sz w:val="18"/>
          <w:szCs w:val="18"/>
        </w:rPr>
        <w:t xml:space="preserve">Henri Labayle, </w:t>
      </w:r>
      <w:r w:rsidRPr="008832DF">
        <w:rPr>
          <w:rFonts w:ascii="Garamond" w:hAnsi="Garamond"/>
          <w:bCs/>
          <w:smallCaps/>
          <w:sz w:val="18"/>
          <w:szCs w:val="18"/>
        </w:rPr>
        <w:t>Openness, transparency and access to documents and information in the European Union</w:t>
      </w:r>
      <w:r w:rsidRPr="008832DF">
        <w:rPr>
          <w:rFonts w:ascii="Garamond" w:hAnsi="Garamond"/>
          <w:bCs/>
          <w:sz w:val="18"/>
          <w:szCs w:val="18"/>
        </w:rPr>
        <w:t xml:space="preserve"> (</w:t>
      </w:r>
      <w:r w:rsidRPr="008832DF">
        <w:rPr>
          <w:rFonts w:ascii="Garamond" w:hAnsi="Garamond"/>
          <w:sz w:val="18"/>
          <w:szCs w:val="18"/>
        </w:rPr>
        <w:t>European Parliament, Directorate-General for Internal Policies</w:t>
      </w:r>
      <w:r w:rsidRPr="008832DF">
        <w:rPr>
          <w:rFonts w:ascii="Garamond" w:hAnsi="Garamond"/>
          <w:bCs/>
          <w:sz w:val="18"/>
          <w:szCs w:val="18"/>
        </w:rPr>
        <w:t>, 2013).</w:t>
      </w:r>
    </w:p>
  </w:footnote>
  <w:footnote w:id="4">
    <w:p w14:paraId="22591720" w14:textId="79AD06EB" w:rsidR="00974078" w:rsidRPr="008832DF" w:rsidRDefault="00974078" w:rsidP="000B39D7">
      <w:pPr>
        <w:pStyle w:val="Notedebasdepage"/>
        <w:jc w:val="both"/>
        <w:rPr>
          <w:rFonts w:ascii="Garamond" w:hAnsi="Garamond"/>
          <w:sz w:val="18"/>
          <w:szCs w:val="18"/>
        </w:rPr>
      </w:pPr>
      <w:r w:rsidRPr="008832DF">
        <w:rPr>
          <w:rStyle w:val="Appelnotedebasdep"/>
          <w:rFonts w:ascii="Garamond" w:hAnsi="Garamond"/>
          <w:sz w:val="18"/>
          <w:szCs w:val="18"/>
        </w:rPr>
        <w:footnoteRef/>
      </w:r>
      <w:r w:rsidRPr="008832DF">
        <w:rPr>
          <w:rFonts w:ascii="Garamond" w:hAnsi="Garamond"/>
          <w:sz w:val="18"/>
          <w:szCs w:val="18"/>
        </w:rPr>
        <w:t xml:space="preserve"> </w:t>
      </w:r>
      <w:r w:rsidRPr="008832DF">
        <w:rPr>
          <w:rFonts w:ascii="Garamond" w:hAnsi="Garamond"/>
          <w:i/>
          <w:sz w:val="18"/>
          <w:szCs w:val="18"/>
        </w:rPr>
        <w:t>See</w:t>
      </w:r>
      <w:r w:rsidRPr="008832DF">
        <w:rPr>
          <w:rFonts w:ascii="Garamond" w:hAnsi="Garamond"/>
          <w:sz w:val="18"/>
          <w:szCs w:val="18"/>
        </w:rPr>
        <w:t xml:space="preserve"> Barack Obama, </w:t>
      </w:r>
      <w:r w:rsidRPr="008832DF">
        <w:rPr>
          <w:rFonts w:ascii="Garamond" w:hAnsi="Garamond"/>
          <w:i/>
          <w:sz w:val="18"/>
          <w:szCs w:val="18"/>
        </w:rPr>
        <w:t>Memorandum on Transparency and Open Government</w:t>
      </w:r>
      <w:r w:rsidRPr="008832DF">
        <w:rPr>
          <w:rFonts w:ascii="Garamond" w:hAnsi="Garamond"/>
          <w:sz w:val="18"/>
          <w:szCs w:val="18"/>
        </w:rPr>
        <w:t xml:space="preserve">, issued on January 21, 2009. See also, Peter R. Orszag, </w:t>
      </w:r>
      <w:r w:rsidRPr="008832DF">
        <w:rPr>
          <w:rFonts w:ascii="Garamond" w:hAnsi="Garamond"/>
          <w:i/>
          <w:sz w:val="18"/>
          <w:szCs w:val="18"/>
        </w:rPr>
        <w:t>Memorandum for the Heads of Executive Departments and Agencies on Open Government,</w:t>
      </w:r>
      <w:r w:rsidRPr="008832DF">
        <w:rPr>
          <w:rFonts w:ascii="Garamond" w:eastAsiaTheme="minorHAnsi" w:hAnsi="Garamond"/>
          <w:sz w:val="18"/>
          <w:szCs w:val="18"/>
        </w:rPr>
        <w:t xml:space="preserve"> </w:t>
      </w:r>
      <w:r w:rsidRPr="008832DF">
        <w:rPr>
          <w:rFonts w:ascii="Garamond" w:hAnsi="Garamond"/>
          <w:sz w:val="18"/>
          <w:szCs w:val="18"/>
        </w:rPr>
        <w:t xml:space="preserve">issued on December 8, 2009. </w:t>
      </w:r>
    </w:p>
  </w:footnote>
  <w:footnote w:id="5">
    <w:p w14:paraId="2477E2C6" w14:textId="455C3954" w:rsidR="00974078" w:rsidRPr="008832DF" w:rsidRDefault="00974078" w:rsidP="000B39D7">
      <w:pPr>
        <w:pStyle w:val="Paragraphestandard"/>
        <w:spacing w:line="240" w:lineRule="auto"/>
        <w:jc w:val="both"/>
        <w:rPr>
          <w:rFonts w:ascii="Garamond" w:hAnsi="Garamond" w:cs="Times New Roman"/>
          <w:b/>
          <w:bCs/>
          <w:color w:val="auto"/>
          <w:sz w:val="18"/>
          <w:szCs w:val="18"/>
          <w:lang w:val="en-US"/>
        </w:rPr>
      </w:pPr>
      <w:r w:rsidRPr="008832DF">
        <w:rPr>
          <w:rStyle w:val="Appelnotedebasdep"/>
          <w:rFonts w:ascii="Garamond" w:hAnsi="Garamond" w:cs="Times New Roman"/>
          <w:color w:val="auto"/>
          <w:sz w:val="18"/>
          <w:szCs w:val="18"/>
          <w:vertAlign w:val="baseline"/>
        </w:rPr>
        <w:footnoteRef/>
      </w:r>
      <w:r w:rsidRPr="008832DF">
        <w:rPr>
          <w:rFonts w:ascii="Garamond" w:hAnsi="Garamond" w:cs="Times New Roman"/>
          <w:color w:val="auto"/>
          <w:sz w:val="18"/>
          <w:szCs w:val="18"/>
          <w:lang w:val="en-US"/>
        </w:rPr>
        <w:t xml:space="preserve"> </w:t>
      </w:r>
      <w:r w:rsidRPr="008832DF">
        <w:rPr>
          <w:rFonts w:ascii="Garamond" w:hAnsi="Garamond" w:cs="Times New Roman"/>
          <w:i/>
          <w:color w:val="auto"/>
          <w:sz w:val="18"/>
          <w:szCs w:val="18"/>
          <w:lang w:val="en-US"/>
        </w:rPr>
        <w:t>See</w:t>
      </w:r>
      <w:r w:rsidRPr="008832DF">
        <w:rPr>
          <w:rFonts w:ascii="Garamond" w:hAnsi="Garamond" w:cs="Times New Roman"/>
          <w:color w:val="auto"/>
          <w:sz w:val="18"/>
          <w:szCs w:val="18"/>
          <w:lang w:val="en-US"/>
        </w:rPr>
        <w:t xml:space="preserve"> for instance, William Gilles, </w:t>
      </w:r>
      <w:r w:rsidRPr="008832DF">
        <w:rPr>
          <w:rFonts w:ascii="Garamond" w:hAnsi="Garamond" w:cs="Times New Roman"/>
          <w:bCs/>
          <w:i/>
          <w:color w:val="auto"/>
          <w:sz w:val="18"/>
          <w:szCs w:val="18"/>
          <w:lang w:val="en-US"/>
        </w:rPr>
        <w:t>From the Right to Transparency to the Right to Open Government in a Digital Era. A French Approach</w:t>
      </w:r>
      <w:r w:rsidRPr="008832DF">
        <w:rPr>
          <w:rFonts w:ascii="Garamond" w:hAnsi="Garamond" w:cs="Times New Roman"/>
          <w:bCs/>
          <w:color w:val="auto"/>
          <w:sz w:val="18"/>
          <w:szCs w:val="18"/>
          <w:lang w:val="en-US"/>
        </w:rPr>
        <w:t xml:space="preserve">, 2015 </w:t>
      </w:r>
      <w:r w:rsidRPr="008832DF">
        <w:rPr>
          <w:rFonts w:ascii="Garamond" w:hAnsi="Garamond" w:cs="Times New Roman"/>
          <w:bCs/>
          <w:smallCaps/>
          <w:color w:val="auto"/>
          <w:sz w:val="18"/>
          <w:szCs w:val="18"/>
          <w:lang w:val="en-US"/>
        </w:rPr>
        <w:t>International Journal of Open Governments/ Revue Internationale des Gouvernements Ouverts</w:t>
      </w:r>
      <w:r w:rsidR="00487DB9" w:rsidRPr="008832DF">
        <w:rPr>
          <w:rFonts w:ascii="Garamond" w:hAnsi="Garamond" w:cs="Times New Roman"/>
          <w:bCs/>
          <w:color w:val="auto"/>
          <w:sz w:val="18"/>
          <w:szCs w:val="18"/>
          <w:lang w:val="en-US"/>
        </w:rPr>
        <w:t>.</w:t>
      </w:r>
    </w:p>
  </w:footnote>
  <w:footnote w:id="6">
    <w:p w14:paraId="377B7D9C" w14:textId="159D6EFD" w:rsidR="00487DB9" w:rsidRPr="00AB53B7" w:rsidRDefault="00487DB9" w:rsidP="00AB53B7">
      <w:pPr>
        <w:rPr>
          <w:rFonts w:ascii="Garamond" w:hAnsi="Garamond"/>
          <w:sz w:val="18"/>
          <w:szCs w:val="18"/>
        </w:rPr>
      </w:pPr>
      <w:r w:rsidRPr="00AB53B7">
        <w:rPr>
          <w:rStyle w:val="Appelnotedebasdep"/>
          <w:rFonts w:ascii="Garamond" w:hAnsi="Garamond"/>
          <w:sz w:val="18"/>
          <w:szCs w:val="18"/>
        </w:rPr>
        <w:footnoteRef/>
      </w:r>
      <w:r w:rsidRPr="00AB53B7">
        <w:rPr>
          <w:rFonts w:ascii="Garamond" w:hAnsi="Garamond"/>
          <w:sz w:val="18"/>
          <w:szCs w:val="18"/>
        </w:rPr>
        <w:t xml:space="preserve"> On that subject, </w:t>
      </w:r>
      <w:r w:rsidRPr="00AB53B7">
        <w:rPr>
          <w:rFonts w:ascii="Garamond" w:hAnsi="Garamond"/>
          <w:i/>
          <w:sz w:val="18"/>
          <w:szCs w:val="18"/>
        </w:rPr>
        <w:t>see</w:t>
      </w:r>
      <w:r w:rsidRPr="00AB53B7">
        <w:rPr>
          <w:rFonts w:ascii="Garamond" w:hAnsi="Garamond"/>
          <w:sz w:val="18"/>
          <w:szCs w:val="18"/>
        </w:rPr>
        <w:t xml:space="preserve">, for instance, </w:t>
      </w:r>
      <w:r w:rsidRPr="00AB53B7">
        <w:rPr>
          <w:rFonts w:ascii="Garamond" w:eastAsia="Times New Roman" w:hAnsi="Garamond"/>
          <w:iCs/>
          <w:sz w:val="18"/>
          <w:szCs w:val="18"/>
          <w:lang w:eastAsia="fr-FR" w:bidi="ar-SA"/>
        </w:rPr>
        <w:t>Miriam Lips,</w:t>
      </w:r>
      <w:r w:rsidRPr="00AB53B7">
        <w:rPr>
          <w:rFonts w:ascii="Garamond" w:eastAsia="Times New Roman" w:hAnsi="Garamond"/>
          <w:i/>
          <w:iCs/>
          <w:sz w:val="18"/>
          <w:szCs w:val="18"/>
          <w:lang w:eastAsia="fr-FR" w:bidi="ar-SA"/>
        </w:rPr>
        <w:t xml:space="preserve"> </w:t>
      </w:r>
      <w:r w:rsidRPr="00AB53B7">
        <w:rPr>
          <w:rFonts w:ascii="Garamond" w:eastAsia="Times New Roman" w:hAnsi="Garamond"/>
          <w:bCs/>
          <w:sz w:val="18"/>
          <w:szCs w:val="18"/>
          <w:lang w:eastAsia="fr-FR" w:bidi="ar-SA"/>
        </w:rPr>
        <w:t>The Digital Citizen: New Directions for Citizen-centric Government and Democracy (</w:t>
      </w:r>
      <w:r w:rsidRPr="00AB53B7">
        <w:rPr>
          <w:rFonts w:ascii="Garamond" w:hAnsi="Garamond"/>
          <w:sz w:val="18"/>
          <w:szCs w:val="18"/>
          <w:shd w:val="clear" w:color="auto" w:fill="FFFFFF"/>
        </w:rPr>
        <w:t xml:space="preserve">Tauris Academic Studies, 2013); </w:t>
      </w:r>
      <w:r w:rsidRPr="00AB53B7">
        <w:rPr>
          <w:rStyle w:val="addmd"/>
          <w:rFonts w:ascii="Garamond" w:hAnsi="Garamond"/>
          <w:smallCaps/>
          <w:sz w:val="18"/>
          <w:szCs w:val="18"/>
          <w:shd w:val="clear" w:color="auto" w:fill="FFFFFF"/>
        </w:rPr>
        <w:t>Daniel Veit,</w:t>
      </w:r>
      <w:r w:rsidR="00CB6176" w:rsidRPr="00AB53B7">
        <w:rPr>
          <w:rStyle w:val="addmd"/>
          <w:rFonts w:ascii="Garamond" w:hAnsi="Garamond"/>
          <w:smallCaps/>
          <w:sz w:val="18"/>
          <w:szCs w:val="18"/>
          <w:shd w:val="clear" w:color="auto" w:fill="FFFFFF"/>
        </w:rPr>
        <w:t xml:space="preserve"> J</w:t>
      </w:r>
      <w:r w:rsidRPr="00AB53B7">
        <w:rPr>
          <w:rStyle w:val="addmd"/>
          <w:rFonts w:ascii="Garamond" w:hAnsi="Garamond"/>
          <w:smallCaps/>
          <w:sz w:val="18"/>
          <w:szCs w:val="18"/>
          <w:shd w:val="clear" w:color="auto" w:fill="FFFFFF"/>
        </w:rPr>
        <w:t>an Huntgeburth,</w:t>
      </w:r>
      <w:r w:rsidRPr="00AB53B7">
        <w:rPr>
          <w:rFonts w:ascii="Garamond" w:eastAsia="Times New Roman" w:hAnsi="Garamond"/>
          <w:sz w:val="18"/>
          <w:szCs w:val="18"/>
          <w:lang w:eastAsia="fr-FR" w:bidi="ar-SA"/>
        </w:rPr>
        <w:t xml:space="preserve"> </w:t>
      </w:r>
      <w:r w:rsidRPr="00AB53B7">
        <w:rPr>
          <w:rFonts w:ascii="Garamond" w:hAnsi="Garamond"/>
          <w:sz w:val="18"/>
          <w:szCs w:val="18"/>
        </w:rPr>
        <w:t>Foundations of Digital Government: Leading and Managing in the Digital Era</w:t>
      </w:r>
      <w:r w:rsidR="00301A38" w:rsidRPr="00AB53B7">
        <w:rPr>
          <w:rFonts w:ascii="Garamond" w:hAnsi="Garamond"/>
          <w:sz w:val="18"/>
          <w:szCs w:val="18"/>
        </w:rPr>
        <w:t xml:space="preserve"> (Springer, 2014)</w:t>
      </w:r>
      <w:r w:rsidR="009F4405" w:rsidRPr="00AB53B7">
        <w:rPr>
          <w:rFonts w:ascii="Garamond" w:hAnsi="Garamond"/>
          <w:sz w:val="18"/>
          <w:szCs w:val="18"/>
        </w:rPr>
        <w:t xml:space="preserve">; William D. Eggers, Joel Bellman, </w:t>
      </w:r>
      <w:r w:rsidR="00301A38" w:rsidRPr="00AB53B7">
        <w:rPr>
          <w:rFonts w:ascii="Garamond" w:hAnsi="Garamond"/>
          <w:i/>
          <w:sz w:val="18"/>
          <w:szCs w:val="18"/>
        </w:rPr>
        <w:t xml:space="preserve">The </w:t>
      </w:r>
      <w:r w:rsidR="009F4405" w:rsidRPr="00AB53B7">
        <w:rPr>
          <w:rFonts w:ascii="Garamond" w:hAnsi="Garamond"/>
          <w:i/>
          <w:sz w:val="18"/>
          <w:szCs w:val="18"/>
        </w:rPr>
        <w:t>J</w:t>
      </w:r>
      <w:r w:rsidR="00301A38" w:rsidRPr="00AB53B7">
        <w:rPr>
          <w:rFonts w:ascii="Garamond" w:hAnsi="Garamond"/>
          <w:i/>
          <w:sz w:val="18"/>
          <w:szCs w:val="18"/>
        </w:rPr>
        <w:t xml:space="preserve">ourney to </w:t>
      </w:r>
      <w:r w:rsidR="009F4405" w:rsidRPr="00AB53B7">
        <w:rPr>
          <w:rFonts w:ascii="Garamond" w:hAnsi="Garamond"/>
          <w:i/>
          <w:sz w:val="18"/>
          <w:szCs w:val="18"/>
        </w:rPr>
        <w:t>G</w:t>
      </w:r>
      <w:r w:rsidR="00301A38" w:rsidRPr="00AB53B7">
        <w:rPr>
          <w:rFonts w:ascii="Garamond" w:hAnsi="Garamond"/>
          <w:i/>
          <w:sz w:val="18"/>
          <w:szCs w:val="18"/>
        </w:rPr>
        <w:t xml:space="preserve">overnment’s </w:t>
      </w:r>
      <w:r w:rsidR="009F4405" w:rsidRPr="00AB53B7">
        <w:rPr>
          <w:rFonts w:ascii="Garamond" w:hAnsi="Garamond"/>
          <w:i/>
          <w:sz w:val="18"/>
          <w:szCs w:val="18"/>
        </w:rPr>
        <w:t>D</w:t>
      </w:r>
      <w:r w:rsidR="00301A38" w:rsidRPr="00AB53B7">
        <w:rPr>
          <w:rFonts w:ascii="Garamond" w:hAnsi="Garamond"/>
          <w:i/>
          <w:sz w:val="18"/>
          <w:szCs w:val="18"/>
        </w:rPr>
        <w:t xml:space="preserve">igital </w:t>
      </w:r>
      <w:r w:rsidR="009F4405" w:rsidRPr="00AB53B7">
        <w:rPr>
          <w:rFonts w:ascii="Garamond" w:hAnsi="Garamond"/>
          <w:i/>
          <w:sz w:val="18"/>
          <w:szCs w:val="18"/>
        </w:rPr>
        <w:t>T</w:t>
      </w:r>
      <w:r w:rsidR="00301A38" w:rsidRPr="00AB53B7">
        <w:rPr>
          <w:rFonts w:ascii="Garamond" w:hAnsi="Garamond"/>
          <w:i/>
          <w:sz w:val="18"/>
          <w:szCs w:val="18"/>
        </w:rPr>
        <w:t>ransformation, A Deloitte Digital global survey</w:t>
      </w:r>
      <w:r w:rsidR="009F4405" w:rsidRPr="00AB53B7">
        <w:rPr>
          <w:rFonts w:ascii="Garamond" w:hAnsi="Garamond"/>
          <w:i/>
          <w:sz w:val="18"/>
          <w:szCs w:val="18"/>
        </w:rPr>
        <w:t>,</w:t>
      </w:r>
      <w:r w:rsidR="009F4405" w:rsidRPr="00AB53B7">
        <w:rPr>
          <w:rFonts w:ascii="Garamond" w:hAnsi="Garamond"/>
          <w:sz w:val="18"/>
          <w:szCs w:val="18"/>
        </w:rPr>
        <w:t xml:space="preserve"> Deloitte University Press, 2015.</w:t>
      </w:r>
    </w:p>
  </w:footnote>
  <w:footnote w:id="7">
    <w:p w14:paraId="2E8FF947" w14:textId="3BBF2C09" w:rsidR="00EE0229" w:rsidRPr="008832DF" w:rsidRDefault="00EE0229" w:rsidP="000B39D7">
      <w:pPr>
        <w:pStyle w:val="Notedebasdepage"/>
        <w:jc w:val="both"/>
        <w:rPr>
          <w:rFonts w:ascii="Garamond" w:hAnsi="Garamond"/>
        </w:rPr>
      </w:pPr>
      <w:r w:rsidRPr="008832DF">
        <w:rPr>
          <w:rStyle w:val="Appelnotedebasdep"/>
          <w:rFonts w:ascii="Garamond" w:hAnsi="Garamond"/>
          <w:sz w:val="18"/>
        </w:rPr>
        <w:footnoteRef/>
      </w:r>
      <w:r w:rsidRPr="008832DF">
        <w:rPr>
          <w:rFonts w:ascii="Garamond" w:hAnsi="Garamond"/>
          <w:sz w:val="18"/>
        </w:rPr>
        <w:t xml:space="preserve"> Since then, Spain has adopted this law. </w:t>
      </w:r>
      <w:r w:rsidRPr="008832DF">
        <w:rPr>
          <w:rFonts w:ascii="Garamond" w:hAnsi="Garamond"/>
          <w:i/>
          <w:sz w:val="18"/>
        </w:rPr>
        <w:t>See</w:t>
      </w:r>
      <w:r w:rsidRPr="008832DF">
        <w:rPr>
          <w:rFonts w:ascii="Garamond" w:hAnsi="Garamond"/>
          <w:sz w:val="18"/>
        </w:rPr>
        <w:t xml:space="preserve"> </w:t>
      </w:r>
      <w:r w:rsidR="00BF322F" w:rsidRPr="008832DF">
        <w:rPr>
          <w:rFonts w:ascii="Garamond" w:hAnsi="Garamond"/>
          <w:sz w:val="18"/>
        </w:rPr>
        <w:t xml:space="preserve">Emilio Guichot, </w:t>
      </w:r>
      <w:r w:rsidR="00BF322F" w:rsidRPr="008832DF">
        <w:rPr>
          <w:rFonts w:ascii="Garamond" w:hAnsi="Garamond"/>
          <w:i/>
          <w:sz w:val="18"/>
        </w:rPr>
        <w:t>The New Spanish Transparency and Freedom of Information Act of 9</w:t>
      </w:r>
      <w:r w:rsidR="00BF322F" w:rsidRPr="008832DF">
        <w:rPr>
          <w:rFonts w:ascii="Garamond" w:hAnsi="Garamond"/>
          <w:i/>
          <w:sz w:val="18"/>
          <w:vertAlign w:val="superscript"/>
        </w:rPr>
        <w:t>th</w:t>
      </w:r>
      <w:r w:rsidR="00BF322F" w:rsidRPr="008832DF">
        <w:rPr>
          <w:rFonts w:ascii="Garamond" w:hAnsi="Garamond"/>
          <w:i/>
          <w:sz w:val="18"/>
        </w:rPr>
        <w:t xml:space="preserve"> December 2013: Text and Context</w:t>
      </w:r>
      <w:r w:rsidR="00BF322F" w:rsidRPr="008832DF">
        <w:rPr>
          <w:rFonts w:ascii="Garamond" w:hAnsi="Garamond"/>
          <w:sz w:val="18"/>
        </w:rPr>
        <w:t xml:space="preserve">, in </w:t>
      </w:r>
      <w:r w:rsidR="00BF322F" w:rsidRPr="008832DF">
        <w:rPr>
          <w:rFonts w:ascii="Garamond" w:hAnsi="Garamond"/>
          <w:smallCaps/>
          <w:sz w:val="18"/>
        </w:rPr>
        <w:t>Irène Bouhadana, William Gilles, Russell Weaver</w:t>
      </w:r>
      <w:r w:rsidR="00BF322F" w:rsidRPr="008832DF">
        <w:rPr>
          <w:rFonts w:ascii="Garamond" w:hAnsi="Garamond"/>
          <w:sz w:val="18"/>
        </w:rPr>
        <w:t xml:space="preserve"> (eds), </w:t>
      </w:r>
      <w:r w:rsidR="00BF322F" w:rsidRPr="008832DF">
        <w:rPr>
          <w:rFonts w:ascii="Garamond" w:hAnsi="Garamond"/>
          <w:smallCaps/>
          <w:sz w:val="18"/>
        </w:rPr>
        <w:t>Transparency in the Open Government Era</w:t>
      </w:r>
      <w:r w:rsidR="00BF322F" w:rsidRPr="008832DF">
        <w:rPr>
          <w:rFonts w:ascii="Garamond" w:hAnsi="Garamond"/>
          <w:sz w:val="18"/>
        </w:rPr>
        <w:t xml:space="preserve"> (Les éditions Imodev, 2015).</w:t>
      </w:r>
    </w:p>
  </w:footnote>
  <w:footnote w:id="8">
    <w:p w14:paraId="37D5443C" w14:textId="11BED4F1" w:rsidR="003A19BD" w:rsidRPr="008832DF" w:rsidRDefault="00EE0229" w:rsidP="000B39D7">
      <w:pPr>
        <w:pStyle w:val="Notedebasdepage"/>
        <w:rPr>
          <w:rFonts w:ascii="Garamond" w:hAnsi="Garamond"/>
        </w:rPr>
      </w:pPr>
      <w:r w:rsidRPr="008832DF">
        <w:rPr>
          <w:rStyle w:val="Appelnotedebasdep"/>
          <w:rFonts w:ascii="Garamond" w:hAnsi="Garamond"/>
          <w:sz w:val="18"/>
          <w:szCs w:val="18"/>
        </w:rPr>
        <w:footnoteRef/>
      </w:r>
      <w:r w:rsidRPr="008832DF">
        <w:rPr>
          <w:rFonts w:ascii="Garamond" w:hAnsi="Garamond"/>
          <w:sz w:val="18"/>
          <w:szCs w:val="18"/>
        </w:rPr>
        <w:t xml:space="preserve"> Transparency International</w:t>
      </w:r>
      <w:r w:rsidR="003A19BD" w:rsidRPr="008832DF">
        <w:rPr>
          <w:rFonts w:ascii="Garamond" w:hAnsi="Garamond"/>
          <w:sz w:val="18"/>
          <w:szCs w:val="18"/>
        </w:rPr>
        <w:t xml:space="preserve">, </w:t>
      </w:r>
      <w:r w:rsidR="003A19BD" w:rsidRPr="008832DF">
        <w:rPr>
          <w:rFonts w:ascii="Garamond" w:hAnsi="Garamond" w:cs="HelveticaNeue-LightCond"/>
          <w:i/>
          <w:sz w:val="18"/>
          <w:szCs w:val="18"/>
          <w:lang w:bidi="ar-SA"/>
        </w:rPr>
        <w:t>Money, Politics, Power:</w:t>
      </w:r>
      <w:r w:rsidR="003A19BD" w:rsidRPr="008832DF">
        <w:rPr>
          <w:rFonts w:ascii="Garamond" w:hAnsi="Garamond"/>
          <w:i/>
          <w:sz w:val="18"/>
          <w:szCs w:val="18"/>
        </w:rPr>
        <w:t xml:space="preserve"> </w:t>
      </w:r>
      <w:r w:rsidR="003A19BD" w:rsidRPr="008832DF">
        <w:rPr>
          <w:rFonts w:ascii="Garamond" w:hAnsi="Garamond" w:cs="HelveticaNeue-LightCond"/>
          <w:i/>
          <w:sz w:val="18"/>
          <w:szCs w:val="18"/>
          <w:lang w:bidi="ar-SA"/>
        </w:rPr>
        <w:t>Corruption Risks in Europe</w:t>
      </w:r>
      <w:r w:rsidR="003A19BD" w:rsidRPr="008832DF">
        <w:rPr>
          <w:rFonts w:ascii="Garamond" w:hAnsi="Garamond" w:cs="HelveticaNeue-LightCond"/>
          <w:sz w:val="18"/>
          <w:szCs w:val="18"/>
          <w:lang w:bidi="ar-SA"/>
        </w:rPr>
        <w:t>, 2012.</w:t>
      </w:r>
    </w:p>
  </w:footnote>
  <w:footnote w:id="9">
    <w:p w14:paraId="222028F8" w14:textId="6BD3BF27" w:rsidR="006049F0" w:rsidRPr="008832DF" w:rsidRDefault="00A0588F" w:rsidP="000B39D7">
      <w:pPr>
        <w:pStyle w:val="Notedebasdepage"/>
        <w:jc w:val="both"/>
        <w:rPr>
          <w:rFonts w:ascii="Garamond" w:hAnsi="Garamond"/>
          <w:sz w:val="18"/>
          <w:szCs w:val="18"/>
        </w:rPr>
      </w:pPr>
      <w:r w:rsidRPr="008832DF">
        <w:rPr>
          <w:rStyle w:val="Appelnotedebasdep"/>
          <w:rFonts w:ascii="Garamond" w:hAnsi="Garamond"/>
          <w:sz w:val="18"/>
          <w:szCs w:val="18"/>
        </w:rPr>
        <w:footnoteRef/>
      </w:r>
      <w:r w:rsidRPr="008832DF">
        <w:rPr>
          <w:rFonts w:ascii="Garamond" w:hAnsi="Garamond"/>
          <w:sz w:val="18"/>
          <w:szCs w:val="18"/>
        </w:rPr>
        <w:t xml:space="preserve"> In this regard, </w:t>
      </w:r>
      <w:r w:rsidRPr="008832DF">
        <w:rPr>
          <w:rFonts w:ascii="Garamond" w:hAnsi="Garamond"/>
          <w:i/>
          <w:sz w:val="18"/>
          <w:szCs w:val="18"/>
        </w:rPr>
        <w:t>see</w:t>
      </w:r>
      <w:r w:rsidRPr="008832DF">
        <w:rPr>
          <w:rFonts w:ascii="Garamond" w:hAnsi="Garamond"/>
          <w:sz w:val="18"/>
          <w:szCs w:val="18"/>
        </w:rPr>
        <w:t xml:space="preserve"> </w:t>
      </w:r>
      <w:r w:rsidR="006049F0" w:rsidRPr="008832DF">
        <w:rPr>
          <w:rFonts w:ascii="Garamond" w:hAnsi="Garamond"/>
          <w:sz w:val="18"/>
          <w:szCs w:val="18"/>
        </w:rPr>
        <w:t xml:space="preserve">Claude E. Shannon, </w:t>
      </w:r>
      <w:r w:rsidR="006049F0" w:rsidRPr="008832DF">
        <w:rPr>
          <w:rFonts w:ascii="Garamond" w:hAnsi="Garamond"/>
          <w:i/>
          <w:iCs/>
          <w:sz w:val="18"/>
          <w:szCs w:val="18"/>
        </w:rPr>
        <w:t>A mathematical theory of communication</w:t>
      </w:r>
      <w:r w:rsidR="006049F0" w:rsidRPr="008832DF">
        <w:rPr>
          <w:rFonts w:ascii="Garamond" w:hAnsi="Garamond"/>
          <w:iCs/>
          <w:sz w:val="18"/>
          <w:szCs w:val="18"/>
        </w:rPr>
        <w:t>,</w:t>
      </w:r>
      <w:r w:rsidR="006049F0" w:rsidRPr="008832DF">
        <w:rPr>
          <w:rFonts w:ascii="Garamond" w:hAnsi="Garamond"/>
          <w:sz w:val="18"/>
          <w:szCs w:val="18"/>
        </w:rPr>
        <w:t xml:space="preserve"> </w:t>
      </w:r>
      <w:r w:rsidR="006049F0" w:rsidRPr="008832DF">
        <w:rPr>
          <w:rFonts w:ascii="Garamond" w:hAnsi="Garamond"/>
          <w:bCs/>
          <w:smallCaps/>
          <w:sz w:val="18"/>
          <w:szCs w:val="18"/>
        </w:rPr>
        <w:t>Bell System Technical Journal</w:t>
      </w:r>
      <w:r w:rsidR="006049F0" w:rsidRPr="008832DF">
        <w:rPr>
          <w:rFonts w:ascii="Garamond" w:hAnsi="Garamond"/>
          <w:sz w:val="18"/>
          <w:szCs w:val="18"/>
        </w:rPr>
        <w:t>, vol.</w:t>
      </w:r>
      <w:r w:rsidR="00CB6176" w:rsidRPr="008832DF">
        <w:rPr>
          <w:rFonts w:ascii="Garamond" w:hAnsi="Garamond"/>
          <w:sz w:val="18"/>
          <w:szCs w:val="18"/>
        </w:rPr>
        <w:t> </w:t>
      </w:r>
      <w:r w:rsidR="006049F0" w:rsidRPr="008832DF">
        <w:rPr>
          <w:rFonts w:ascii="Garamond" w:hAnsi="Garamond"/>
          <w:sz w:val="18"/>
          <w:szCs w:val="18"/>
        </w:rPr>
        <w:t xml:space="preserve">27, pp. 379-423 et 623-656, July and October 1948; Warren Weaver, </w:t>
      </w:r>
      <w:r w:rsidR="006049F0" w:rsidRPr="008832DF">
        <w:rPr>
          <w:rFonts w:ascii="Garamond" w:hAnsi="Garamond"/>
          <w:i/>
          <w:sz w:val="18"/>
          <w:szCs w:val="18"/>
        </w:rPr>
        <w:t>Recent Contributions to The Mathematical Theory of Communication</w:t>
      </w:r>
      <w:r w:rsidR="006049F0" w:rsidRPr="008832DF">
        <w:rPr>
          <w:rFonts w:ascii="Garamond" w:hAnsi="Garamond"/>
          <w:sz w:val="18"/>
          <w:szCs w:val="18"/>
        </w:rPr>
        <w:t>, 1949, available at:</w:t>
      </w:r>
    </w:p>
    <w:p w14:paraId="3DCF076E" w14:textId="7FD76459" w:rsidR="00A0588F" w:rsidRPr="008832DF" w:rsidRDefault="006049F0" w:rsidP="000B39D7">
      <w:pPr>
        <w:pStyle w:val="Notedebasdepage"/>
        <w:jc w:val="both"/>
        <w:rPr>
          <w:rFonts w:ascii="Garamond" w:hAnsi="Garamond"/>
        </w:rPr>
      </w:pPr>
      <w:r w:rsidRPr="008832DF">
        <w:rPr>
          <w:rFonts w:ascii="Garamond" w:hAnsi="Garamond"/>
          <w:sz w:val="18"/>
          <w:szCs w:val="18"/>
        </w:rPr>
        <w:t>http://isites.harvard.edu/fs/docs/icb.topic933672.files/Weaver%20Recent%20Contributions%20to%20the%20Mathematical%20Theory%20of%20Communication.pdf.</w:t>
      </w:r>
    </w:p>
  </w:footnote>
  <w:footnote w:id="10">
    <w:p w14:paraId="48A9DA67" w14:textId="4CD1EFF7" w:rsidR="00F36578" w:rsidRPr="008832DF" w:rsidRDefault="001569FD" w:rsidP="000B39D7">
      <w:pPr>
        <w:pStyle w:val="Notedebasdepage"/>
        <w:jc w:val="both"/>
        <w:rPr>
          <w:rFonts w:ascii="Garamond" w:hAnsi="Garamond"/>
          <w:sz w:val="18"/>
          <w:szCs w:val="18"/>
        </w:rPr>
      </w:pPr>
      <w:r w:rsidRPr="008832DF">
        <w:rPr>
          <w:rStyle w:val="Appelnotedebasdep"/>
          <w:rFonts w:ascii="Garamond" w:hAnsi="Garamond"/>
          <w:sz w:val="18"/>
          <w:szCs w:val="18"/>
        </w:rPr>
        <w:footnoteRef/>
      </w:r>
      <w:r w:rsidRPr="008832DF">
        <w:rPr>
          <w:rFonts w:ascii="Garamond" w:hAnsi="Garamond"/>
          <w:sz w:val="18"/>
          <w:szCs w:val="18"/>
        </w:rPr>
        <w:t xml:space="preserve"> For instance, </w:t>
      </w:r>
      <w:r w:rsidR="00F36578" w:rsidRPr="008832DF">
        <w:rPr>
          <w:rFonts w:ascii="Garamond" w:hAnsi="Garamond"/>
          <w:sz w:val="18"/>
          <w:szCs w:val="18"/>
        </w:rPr>
        <w:t>the Special rapporteur for freedom of expression of the Interamerican Commission on Human Rights has underlined that “t</w:t>
      </w:r>
      <w:r w:rsidRPr="008832DF">
        <w:rPr>
          <w:rFonts w:ascii="Garamond" w:hAnsi="Garamond"/>
          <w:sz w:val="18"/>
          <w:szCs w:val="18"/>
        </w:rPr>
        <w:t>he right of access to information is a critical tool for democratic participation, oversight of the State and public administration, and the monitoring of corruption. In democratic systems, in which the State’s conduct is governed by publicity and transparency, the right of access to information in the State’s possession is a fundamental requirement for ensuring</w:t>
      </w:r>
      <w:r w:rsidR="00F36578" w:rsidRPr="008832DF">
        <w:rPr>
          <w:rFonts w:ascii="Garamond" w:hAnsi="Garamond"/>
          <w:sz w:val="18"/>
          <w:szCs w:val="18"/>
        </w:rPr>
        <w:t xml:space="preserve"> democratic participation, good and transparent conduct of public affairs, and the oversight of government and its authorities by public opinion, as it enables civil society to scrutinize the actions of the authorities. Free access to information is a means for the citizens in a participatory and representative democracy to exercise their political rights. Indeed, the full exercise of the right to access to information is necessary to prevent abuses by public officials, promote accountability and transparency in government, and enable solid and informed public debate that ensures effective recourse against government abuse and prevents corruption.” </w:t>
      </w:r>
      <w:r w:rsidR="00F36578" w:rsidRPr="008832DF">
        <w:rPr>
          <w:rFonts w:ascii="Garamond" w:hAnsi="Garamond"/>
          <w:i/>
          <w:sz w:val="18"/>
          <w:szCs w:val="18"/>
        </w:rPr>
        <w:t>See</w:t>
      </w:r>
      <w:r w:rsidR="00F36578" w:rsidRPr="008832DF">
        <w:rPr>
          <w:rFonts w:ascii="Garamond" w:hAnsi="Garamond"/>
          <w:sz w:val="18"/>
          <w:szCs w:val="18"/>
        </w:rPr>
        <w:t xml:space="preserve"> Special rapporteur for freedom of expression, Interamerican Commission on Human Rights, </w:t>
      </w:r>
      <w:r w:rsidR="00F36578" w:rsidRPr="008832DF">
        <w:rPr>
          <w:rFonts w:ascii="Garamond" w:hAnsi="Garamond"/>
          <w:i/>
          <w:sz w:val="18"/>
          <w:szCs w:val="18"/>
        </w:rPr>
        <w:t>Organization of American States Report 2009</w:t>
      </w:r>
      <w:r w:rsidR="00F36578" w:rsidRPr="008832DF">
        <w:rPr>
          <w:rFonts w:ascii="Garamond" w:hAnsi="Garamond"/>
          <w:sz w:val="18"/>
          <w:szCs w:val="18"/>
        </w:rPr>
        <w:t>.</w:t>
      </w:r>
    </w:p>
  </w:footnote>
  <w:footnote w:id="11">
    <w:p w14:paraId="62DF0C79" w14:textId="357A2D7A" w:rsidR="005D5BEC" w:rsidRPr="008832DF" w:rsidRDefault="005D5BEC" w:rsidP="000B39D7">
      <w:pPr>
        <w:pStyle w:val="Notedebasdepage"/>
        <w:jc w:val="both"/>
        <w:rPr>
          <w:rFonts w:ascii="Garamond" w:hAnsi="Garamond"/>
          <w:sz w:val="18"/>
          <w:szCs w:val="18"/>
        </w:rPr>
      </w:pPr>
      <w:r w:rsidRPr="008832DF">
        <w:rPr>
          <w:rStyle w:val="Appelnotedebasdep"/>
          <w:rFonts w:ascii="Garamond" w:hAnsi="Garamond"/>
          <w:sz w:val="18"/>
          <w:szCs w:val="18"/>
        </w:rPr>
        <w:footnoteRef/>
      </w:r>
      <w:r w:rsidRPr="008832DF">
        <w:rPr>
          <w:rFonts w:ascii="Garamond" w:hAnsi="Garamond"/>
          <w:sz w:val="18"/>
          <w:szCs w:val="18"/>
        </w:rPr>
        <w:t xml:space="preserve"> </w:t>
      </w:r>
      <w:r w:rsidRPr="008832DF">
        <w:rPr>
          <w:rFonts w:ascii="Garamond" w:hAnsi="Garamond"/>
          <w:i/>
          <w:sz w:val="18"/>
          <w:szCs w:val="18"/>
        </w:rPr>
        <w:t>See</w:t>
      </w:r>
      <w:r w:rsidRPr="008832DF">
        <w:rPr>
          <w:rFonts w:ascii="Garamond" w:hAnsi="Garamond"/>
          <w:sz w:val="18"/>
          <w:szCs w:val="18"/>
        </w:rPr>
        <w:t xml:space="preserve"> Article</w:t>
      </w:r>
      <w:r w:rsidR="00CB6176" w:rsidRPr="008832DF">
        <w:rPr>
          <w:rFonts w:ascii="Garamond" w:hAnsi="Garamond"/>
          <w:sz w:val="18"/>
          <w:szCs w:val="18"/>
        </w:rPr>
        <w:t> </w:t>
      </w:r>
      <w:r w:rsidRPr="008832DF">
        <w:rPr>
          <w:rFonts w:ascii="Garamond" w:hAnsi="Garamond"/>
          <w:sz w:val="18"/>
          <w:szCs w:val="18"/>
        </w:rPr>
        <w:t xml:space="preserve">2 </w:t>
      </w:r>
      <w:r w:rsidR="00310BC6" w:rsidRPr="008832DF">
        <w:rPr>
          <w:rFonts w:ascii="Garamond" w:hAnsi="Garamond"/>
          <w:sz w:val="18"/>
          <w:szCs w:val="18"/>
        </w:rPr>
        <w:t xml:space="preserve">of the </w:t>
      </w:r>
      <w:r w:rsidR="00310BC6" w:rsidRPr="008832DF">
        <w:rPr>
          <w:rFonts w:ascii="Garamond" w:hAnsi="Garamond"/>
          <w:i/>
          <w:sz w:val="18"/>
          <w:szCs w:val="18"/>
        </w:rPr>
        <w:t>Convention on Access to Information, Public Participation in Decision-Making and Access to Justice in Environmental Matters</w:t>
      </w:r>
      <w:r w:rsidR="00310BC6" w:rsidRPr="008832DF">
        <w:rPr>
          <w:rFonts w:ascii="Garamond" w:hAnsi="Garamond"/>
          <w:sz w:val="18"/>
          <w:szCs w:val="18"/>
        </w:rPr>
        <w:t>, done at Aarhus, June</w:t>
      </w:r>
      <w:r w:rsidR="00F04CD7" w:rsidRPr="008832DF">
        <w:rPr>
          <w:rFonts w:ascii="Garamond" w:hAnsi="Garamond"/>
          <w:sz w:val="18"/>
          <w:szCs w:val="18"/>
        </w:rPr>
        <w:t xml:space="preserve"> 25,</w:t>
      </w:r>
      <w:r w:rsidR="00310BC6" w:rsidRPr="008832DF">
        <w:rPr>
          <w:rFonts w:ascii="Garamond" w:hAnsi="Garamond"/>
          <w:sz w:val="18"/>
          <w:szCs w:val="18"/>
        </w:rPr>
        <w:t xml:space="preserve"> 1998</w:t>
      </w:r>
      <w:r w:rsidRPr="008832DF">
        <w:rPr>
          <w:rFonts w:ascii="Garamond" w:hAnsi="Garamond"/>
          <w:sz w:val="18"/>
          <w:szCs w:val="18"/>
        </w:rPr>
        <w:t>.</w:t>
      </w:r>
    </w:p>
  </w:footnote>
  <w:footnote w:id="12">
    <w:p w14:paraId="1F128569" w14:textId="01A278E7" w:rsidR="00AE6CA3" w:rsidRPr="008832DF" w:rsidRDefault="00AE6CA3" w:rsidP="000B39D7">
      <w:pPr>
        <w:pStyle w:val="Notedebasdepage"/>
        <w:jc w:val="both"/>
        <w:rPr>
          <w:rFonts w:ascii="Garamond" w:hAnsi="Garamond"/>
          <w:sz w:val="18"/>
          <w:szCs w:val="18"/>
        </w:rPr>
      </w:pPr>
      <w:r w:rsidRPr="008832DF">
        <w:rPr>
          <w:rStyle w:val="Appelnotedebasdep"/>
          <w:rFonts w:ascii="Garamond" w:hAnsi="Garamond"/>
          <w:sz w:val="18"/>
          <w:szCs w:val="18"/>
        </w:rPr>
        <w:footnoteRef/>
      </w:r>
      <w:r w:rsidRPr="008832DF">
        <w:rPr>
          <w:rFonts w:ascii="Garamond" w:hAnsi="Garamond"/>
          <w:sz w:val="18"/>
          <w:szCs w:val="18"/>
        </w:rPr>
        <w:t xml:space="preserve"> </w:t>
      </w:r>
      <w:r w:rsidRPr="008832DF">
        <w:rPr>
          <w:rFonts w:ascii="Garamond" w:hAnsi="Garamond"/>
          <w:i/>
          <w:sz w:val="18"/>
          <w:szCs w:val="18"/>
        </w:rPr>
        <w:t>See</w:t>
      </w:r>
      <w:r w:rsidRPr="008832DF">
        <w:rPr>
          <w:rFonts w:ascii="Garamond" w:hAnsi="Garamond"/>
          <w:sz w:val="18"/>
          <w:szCs w:val="18"/>
        </w:rPr>
        <w:t xml:space="preserve"> Article</w:t>
      </w:r>
      <w:r w:rsidR="00CB6176" w:rsidRPr="008832DF">
        <w:rPr>
          <w:rFonts w:ascii="Garamond" w:hAnsi="Garamond"/>
          <w:sz w:val="18"/>
          <w:szCs w:val="18"/>
        </w:rPr>
        <w:t> </w:t>
      </w:r>
      <w:r w:rsidRPr="008832DF">
        <w:rPr>
          <w:rFonts w:ascii="Garamond" w:hAnsi="Garamond"/>
          <w:sz w:val="18"/>
          <w:szCs w:val="18"/>
        </w:rPr>
        <w:t xml:space="preserve">1 </w:t>
      </w:r>
      <w:r w:rsidR="00310BC6" w:rsidRPr="008832DF">
        <w:rPr>
          <w:rFonts w:ascii="Garamond" w:hAnsi="Garamond"/>
          <w:sz w:val="18"/>
          <w:szCs w:val="18"/>
        </w:rPr>
        <w:t xml:space="preserve">of the </w:t>
      </w:r>
      <w:r w:rsidR="00310BC6" w:rsidRPr="008832DF">
        <w:rPr>
          <w:rFonts w:ascii="Garamond" w:hAnsi="Garamond"/>
          <w:i/>
          <w:sz w:val="18"/>
          <w:szCs w:val="18"/>
        </w:rPr>
        <w:t>Convention on Access to Information, Public Participation in Decision-Making and Access to Justice in Environmental Matters</w:t>
      </w:r>
      <w:r w:rsidR="00310BC6" w:rsidRPr="008832DF">
        <w:rPr>
          <w:rFonts w:ascii="Garamond" w:hAnsi="Garamond"/>
          <w:sz w:val="18"/>
          <w:szCs w:val="18"/>
        </w:rPr>
        <w:t>, done at Aarhus, June</w:t>
      </w:r>
      <w:r w:rsidR="00F04CD7" w:rsidRPr="008832DF">
        <w:rPr>
          <w:rFonts w:ascii="Garamond" w:hAnsi="Garamond"/>
          <w:sz w:val="18"/>
          <w:szCs w:val="18"/>
        </w:rPr>
        <w:t xml:space="preserve"> 25,</w:t>
      </w:r>
      <w:r w:rsidR="00310BC6" w:rsidRPr="008832DF">
        <w:rPr>
          <w:rFonts w:ascii="Garamond" w:hAnsi="Garamond"/>
          <w:sz w:val="18"/>
          <w:szCs w:val="18"/>
        </w:rPr>
        <w:t xml:space="preserve"> 1998</w:t>
      </w:r>
      <w:r w:rsidRPr="008832DF">
        <w:rPr>
          <w:rFonts w:ascii="Garamond" w:hAnsi="Garamond"/>
          <w:sz w:val="18"/>
          <w:szCs w:val="18"/>
        </w:rPr>
        <w:t>.</w:t>
      </w:r>
    </w:p>
  </w:footnote>
  <w:footnote w:id="13">
    <w:p w14:paraId="35EAC036" w14:textId="6E6752AA" w:rsidR="00310BC6" w:rsidRPr="008832DF" w:rsidRDefault="00310BC6" w:rsidP="000B39D7">
      <w:pPr>
        <w:pStyle w:val="Notedebasdepage"/>
        <w:jc w:val="both"/>
        <w:rPr>
          <w:rFonts w:ascii="Garamond" w:hAnsi="Garamond"/>
          <w:sz w:val="18"/>
          <w:szCs w:val="18"/>
        </w:rPr>
      </w:pPr>
      <w:r w:rsidRPr="008832DF">
        <w:rPr>
          <w:rStyle w:val="Appelnotedebasdep"/>
          <w:rFonts w:ascii="Garamond" w:hAnsi="Garamond"/>
          <w:sz w:val="18"/>
          <w:szCs w:val="18"/>
        </w:rPr>
        <w:footnoteRef/>
      </w:r>
      <w:r w:rsidRPr="008832DF">
        <w:rPr>
          <w:rFonts w:ascii="Garamond" w:hAnsi="Garamond"/>
          <w:sz w:val="18"/>
          <w:szCs w:val="18"/>
        </w:rPr>
        <w:t xml:space="preserve"> On this subject, </w:t>
      </w:r>
      <w:r w:rsidRPr="008832DF">
        <w:rPr>
          <w:rFonts w:ascii="Garamond" w:hAnsi="Garamond"/>
          <w:i/>
          <w:sz w:val="18"/>
          <w:szCs w:val="18"/>
        </w:rPr>
        <w:t>see</w:t>
      </w:r>
      <w:r w:rsidRPr="008832DF">
        <w:rPr>
          <w:rFonts w:ascii="Garamond" w:hAnsi="Garamond"/>
          <w:sz w:val="18"/>
          <w:szCs w:val="18"/>
        </w:rPr>
        <w:t xml:space="preserve"> Irène Bouhadana</w:t>
      </w:r>
      <w:r w:rsidR="000F5451" w:rsidRPr="008832DF">
        <w:rPr>
          <w:rFonts w:ascii="Garamond" w:hAnsi="Garamond"/>
          <w:sz w:val="18"/>
          <w:szCs w:val="18"/>
        </w:rPr>
        <w:t>,</w:t>
      </w:r>
      <w:r w:rsidRPr="008832DF">
        <w:rPr>
          <w:rFonts w:ascii="Garamond" w:hAnsi="Garamond"/>
          <w:sz w:val="18"/>
          <w:szCs w:val="18"/>
        </w:rPr>
        <w:t xml:space="preserve"> </w:t>
      </w:r>
      <w:r w:rsidRPr="008832DF">
        <w:rPr>
          <w:rFonts w:ascii="Garamond" w:hAnsi="Garamond"/>
          <w:i/>
          <w:sz w:val="18"/>
          <w:szCs w:val="18"/>
        </w:rPr>
        <w:t>Opening Parliaments in The Open Government Era. Comment on the Declaration on Parliamentary Openness</w:t>
      </w:r>
      <w:r w:rsidR="000F5451" w:rsidRPr="008832DF">
        <w:rPr>
          <w:rFonts w:ascii="Garamond" w:hAnsi="Garamond"/>
          <w:sz w:val="18"/>
          <w:szCs w:val="18"/>
        </w:rPr>
        <w:t>,</w:t>
      </w:r>
      <w:r w:rsidRPr="008832DF">
        <w:rPr>
          <w:rFonts w:ascii="Garamond" w:hAnsi="Garamond"/>
          <w:sz w:val="18"/>
          <w:szCs w:val="18"/>
        </w:rPr>
        <w:t xml:space="preserve"> in Irène Bouhadana, William Gilles, Iris Nguyen-Duy, </w:t>
      </w:r>
      <w:r w:rsidRPr="008832DF">
        <w:rPr>
          <w:rFonts w:ascii="Garamond" w:hAnsi="Garamond"/>
          <w:smallCaps/>
          <w:sz w:val="18"/>
          <w:szCs w:val="18"/>
        </w:rPr>
        <w:t>Parliament in the Open Government Era</w:t>
      </w:r>
      <w:r w:rsidRPr="008832DF">
        <w:rPr>
          <w:rFonts w:ascii="Garamond" w:hAnsi="Garamond"/>
          <w:sz w:val="18"/>
          <w:szCs w:val="18"/>
        </w:rPr>
        <w:t xml:space="preserve"> </w:t>
      </w:r>
      <w:r w:rsidR="0066397C" w:rsidRPr="008832DF">
        <w:rPr>
          <w:rFonts w:ascii="Garamond" w:hAnsi="Garamond"/>
          <w:sz w:val="18"/>
          <w:szCs w:val="18"/>
        </w:rPr>
        <w:t>(</w:t>
      </w:r>
      <w:r w:rsidRPr="008832DF">
        <w:rPr>
          <w:rFonts w:ascii="Garamond" w:hAnsi="Garamond"/>
          <w:sz w:val="18"/>
          <w:szCs w:val="18"/>
        </w:rPr>
        <w:t>Les Éditions Imodev</w:t>
      </w:r>
      <w:r w:rsidR="00512634" w:rsidRPr="008832DF">
        <w:rPr>
          <w:rFonts w:ascii="Garamond" w:hAnsi="Garamond"/>
          <w:sz w:val="18"/>
          <w:szCs w:val="18"/>
        </w:rPr>
        <w:t>, 201</w:t>
      </w:r>
      <w:r w:rsidR="0066397C" w:rsidRPr="008832DF">
        <w:rPr>
          <w:rFonts w:ascii="Garamond" w:hAnsi="Garamond"/>
          <w:sz w:val="18"/>
          <w:szCs w:val="18"/>
        </w:rPr>
        <w:t>6, forthcoming)</w:t>
      </w:r>
      <w:r w:rsidRPr="008832DF">
        <w:rPr>
          <w:rFonts w:ascii="Garamond" w:hAnsi="Garamond"/>
          <w:sz w:val="18"/>
          <w:szCs w:val="18"/>
        </w:rPr>
        <w:t xml:space="preserve">. </w:t>
      </w:r>
    </w:p>
  </w:footnote>
  <w:footnote w:id="14">
    <w:p w14:paraId="23CAF33D" w14:textId="6367318A" w:rsidR="00154686" w:rsidRPr="008832DF" w:rsidRDefault="00154686" w:rsidP="000B39D7">
      <w:pPr>
        <w:pStyle w:val="Notedebasdepage"/>
        <w:jc w:val="both"/>
        <w:rPr>
          <w:rFonts w:ascii="Garamond" w:hAnsi="Garamond"/>
          <w:sz w:val="18"/>
          <w:szCs w:val="18"/>
        </w:rPr>
      </w:pPr>
      <w:r w:rsidRPr="008832DF">
        <w:rPr>
          <w:rStyle w:val="Appelnotedebasdep"/>
          <w:rFonts w:ascii="Garamond" w:hAnsi="Garamond"/>
          <w:sz w:val="18"/>
          <w:szCs w:val="18"/>
        </w:rPr>
        <w:footnoteRef/>
      </w:r>
      <w:r w:rsidRPr="008832DF">
        <w:rPr>
          <w:rFonts w:ascii="Garamond" w:hAnsi="Garamond"/>
          <w:sz w:val="18"/>
          <w:szCs w:val="18"/>
        </w:rPr>
        <w:t xml:space="preserve"> </w:t>
      </w:r>
      <w:r w:rsidRPr="008832DF">
        <w:rPr>
          <w:rFonts w:ascii="Garamond" w:hAnsi="Garamond"/>
          <w:i/>
          <w:sz w:val="18"/>
          <w:szCs w:val="18"/>
        </w:rPr>
        <w:t>See</w:t>
      </w:r>
      <w:r w:rsidRPr="008832DF">
        <w:rPr>
          <w:rFonts w:ascii="Garamond" w:hAnsi="Garamond"/>
          <w:sz w:val="18"/>
          <w:szCs w:val="18"/>
        </w:rPr>
        <w:t xml:space="preserve"> th</w:t>
      </w:r>
      <w:r w:rsidR="004526CD" w:rsidRPr="008832DF">
        <w:rPr>
          <w:rFonts w:ascii="Garamond" w:hAnsi="Garamond"/>
          <w:sz w:val="18"/>
          <w:szCs w:val="18"/>
        </w:rPr>
        <w:t xml:space="preserve">e </w:t>
      </w:r>
      <w:r w:rsidR="004526CD" w:rsidRPr="008832DF">
        <w:rPr>
          <w:rFonts w:ascii="Garamond" w:hAnsi="Garamond"/>
          <w:i/>
          <w:sz w:val="18"/>
          <w:szCs w:val="18"/>
        </w:rPr>
        <w:t>Declaration on Parliamentary O</w:t>
      </w:r>
      <w:r w:rsidRPr="008832DF">
        <w:rPr>
          <w:rFonts w:ascii="Garamond" w:hAnsi="Garamond"/>
          <w:i/>
          <w:sz w:val="18"/>
          <w:szCs w:val="18"/>
        </w:rPr>
        <w:t>penness</w:t>
      </w:r>
      <w:r w:rsidRPr="008832DF">
        <w:rPr>
          <w:rFonts w:ascii="Garamond" w:hAnsi="Garamond"/>
          <w:sz w:val="18"/>
          <w:szCs w:val="18"/>
        </w:rPr>
        <w:t>.</w:t>
      </w:r>
    </w:p>
  </w:footnote>
  <w:footnote w:id="15">
    <w:p w14:paraId="48EE02F8" w14:textId="77777777" w:rsidR="00154686" w:rsidRPr="008832DF" w:rsidRDefault="00154686" w:rsidP="000B39D7">
      <w:pPr>
        <w:pStyle w:val="Notedebasdepage"/>
        <w:jc w:val="both"/>
        <w:rPr>
          <w:rFonts w:ascii="Garamond" w:hAnsi="Garamond"/>
          <w:sz w:val="18"/>
          <w:szCs w:val="18"/>
        </w:rPr>
      </w:pPr>
      <w:r w:rsidRPr="008832DF">
        <w:rPr>
          <w:rStyle w:val="Appelnotedebasdep"/>
          <w:rFonts w:ascii="Garamond" w:hAnsi="Garamond"/>
          <w:sz w:val="18"/>
          <w:szCs w:val="18"/>
        </w:rPr>
        <w:footnoteRef/>
      </w:r>
      <w:r w:rsidRPr="008832DF">
        <w:rPr>
          <w:rFonts w:ascii="Garamond" w:hAnsi="Garamond"/>
          <w:sz w:val="18"/>
          <w:szCs w:val="18"/>
        </w:rPr>
        <w:t xml:space="preserve"> </w:t>
      </w:r>
      <w:r w:rsidRPr="008832DF">
        <w:rPr>
          <w:rFonts w:ascii="Garamond" w:hAnsi="Garamond"/>
          <w:i/>
          <w:sz w:val="18"/>
          <w:szCs w:val="18"/>
        </w:rPr>
        <w:t>Ibidem.</w:t>
      </w:r>
    </w:p>
  </w:footnote>
  <w:footnote w:id="16">
    <w:p w14:paraId="5C62BF55" w14:textId="2D92E860" w:rsidR="00604142" w:rsidRPr="008832DF" w:rsidRDefault="00604142" w:rsidP="000B39D7">
      <w:pPr>
        <w:pStyle w:val="Notedebasdepage"/>
        <w:jc w:val="both"/>
        <w:rPr>
          <w:rFonts w:ascii="Garamond" w:hAnsi="Garamond"/>
          <w:sz w:val="18"/>
          <w:szCs w:val="18"/>
        </w:rPr>
      </w:pPr>
      <w:r w:rsidRPr="008832DF">
        <w:rPr>
          <w:rStyle w:val="Appelnotedebasdep"/>
          <w:rFonts w:ascii="Garamond" w:hAnsi="Garamond"/>
          <w:sz w:val="18"/>
          <w:szCs w:val="18"/>
        </w:rPr>
        <w:footnoteRef/>
      </w:r>
      <w:r w:rsidRPr="008832DF">
        <w:rPr>
          <w:rFonts w:ascii="Garamond" w:hAnsi="Garamond"/>
          <w:sz w:val="18"/>
          <w:szCs w:val="18"/>
        </w:rPr>
        <w:t xml:space="preserve"> </w:t>
      </w:r>
      <w:r w:rsidRPr="008832DF">
        <w:rPr>
          <w:rFonts w:ascii="Garamond" w:hAnsi="Garamond"/>
          <w:i/>
          <w:sz w:val="18"/>
          <w:szCs w:val="18"/>
        </w:rPr>
        <w:t>See</w:t>
      </w:r>
      <w:r w:rsidRPr="008832DF">
        <w:rPr>
          <w:rFonts w:ascii="Garamond" w:hAnsi="Garamond"/>
          <w:sz w:val="18"/>
          <w:szCs w:val="18"/>
        </w:rPr>
        <w:t xml:space="preserve"> </w:t>
      </w:r>
      <w:r w:rsidRPr="008832DF">
        <w:rPr>
          <w:rFonts w:ascii="Garamond" w:hAnsi="Garamond"/>
          <w:i/>
          <w:sz w:val="18"/>
          <w:szCs w:val="18"/>
        </w:rPr>
        <w:t>Declaration on Parliamentary Openness</w:t>
      </w:r>
      <w:r w:rsidRPr="008832DF">
        <w:rPr>
          <w:rFonts w:ascii="Garamond" w:hAnsi="Garamond"/>
          <w:sz w:val="18"/>
          <w:szCs w:val="18"/>
        </w:rPr>
        <w:t>, Provision Commentary.</w:t>
      </w:r>
    </w:p>
  </w:footnote>
  <w:footnote w:id="17">
    <w:p w14:paraId="0364093E" w14:textId="77777777" w:rsidR="006F3668" w:rsidRPr="008832DF" w:rsidRDefault="006F3668" w:rsidP="000B39D7">
      <w:pPr>
        <w:pStyle w:val="Notedebasdepage"/>
        <w:jc w:val="both"/>
        <w:rPr>
          <w:rFonts w:ascii="Garamond" w:hAnsi="Garamond"/>
          <w:sz w:val="18"/>
        </w:rPr>
      </w:pPr>
      <w:r w:rsidRPr="008832DF">
        <w:rPr>
          <w:rStyle w:val="Appelnotedebasdep"/>
          <w:rFonts w:ascii="Garamond" w:hAnsi="Garamond"/>
          <w:sz w:val="18"/>
        </w:rPr>
        <w:footnoteRef/>
      </w:r>
      <w:r w:rsidRPr="008832DF">
        <w:rPr>
          <w:rFonts w:ascii="Garamond" w:hAnsi="Garamond"/>
          <w:sz w:val="18"/>
        </w:rPr>
        <w:t xml:space="preserve"> </w:t>
      </w:r>
      <w:r w:rsidRPr="008832DF">
        <w:rPr>
          <w:rFonts w:ascii="Garamond" w:hAnsi="Garamond"/>
          <w:i/>
          <w:sz w:val="18"/>
        </w:rPr>
        <w:t xml:space="preserve">10 Principles on the Right to Know, </w:t>
      </w:r>
      <w:r w:rsidRPr="008832DF">
        <w:rPr>
          <w:rFonts w:ascii="Garamond" w:hAnsi="Garamond"/>
          <w:sz w:val="18"/>
        </w:rPr>
        <w:t>adopted on the International Right to Know Day, September 28, 2005, available at:</w:t>
      </w:r>
    </w:p>
    <w:p w14:paraId="75B53B55" w14:textId="7C63B3C8" w:rsidR="006F3668" w:rsidRPr="008832DF" w:rsidRDefault="006F3668" w:rsidP="000B39D7">
      <w:pPr>
        <w:pStyle w:val="Notedebasdepage"/>
        <w:jc w:val="both"/>
      </w:pPr>
      <w:r w:rsidRPr="008832DF">
        <w:rPr>
          <w:rFonts w:ascii="Garamond" w:hAnsi="Garamond"/>
          <w:sz w:val="18"/>
        </w:rPr>
        <w:t>https://www.oas.org/dil/access_to_information_human_Policy_Recommendations_10_Principles_on_the_Right_to_Know.pdf.</w:t>
      </w:r>
    </w:p>
  </w:footnote>
  <w:footnote w:id="18">
    <w:p w14:paraId="621C450B" w14:textId="3A50AF70" w:rsidR="007E6EDF" w:rsidRPr="008832DF" w:rsidRDefault="007E6EDF" w:rsidP="000B39D7">
      <w:pPr>
        <w:pStyle w:val="Notedebasdepage"/>
        <w:jc w:val="both"/>
        <w:rPr>
          <w:rFonts w:ascii="Garamond" w:hAnsi="Garamond"/>
          <w:sz w:val="18"/>
          <w:szCs w:val="18"/>
        </w:rPr>
      </w:pPr>
      <w:r w:rsidRPr="008832DF">
        <w:rPr>
          <w:rStyle w:val="Appelnotedebasdep"/>
          <w:rFonts w:ascii="Garamond" w:hAnsi="Garamond"/>
          <w:sz w:val="18"/>
          <w:szCs w:val="18"/>
        </w:rPr>
        <w:footnoteRef/>
      </w:r>
      <w:r w:rsidRPr="008832DF">
        <w:rPr>
          <w:rFonts w:ascii="Garamond" w:hAnsi="Garamond"/>
          <w:sz w:val="18"/>
          <w:szCs w:val="18"/>
        </w:rPr>
        <w:t xml:space="preserve"> </w:t>
      </w:r>
      <w:r w:rsidRPr="008832DF">
        <w:rPr>
          <w:rFonts w:ascii="Garamond" w:hAnsi="Garamond"/>
          <w:i/>
          <w:sz w:val="18"/>
          <w:szCs w:val="18"/>
        </w:rPr>
        <w:t>See</w:t>
      </w:r>
      <w:r w:rsidRPr="008832DF">
        <w:rPr>
          <w:rFonts w:ascii="Garamond" w:hAnsi="Garamond"/>
          <w:sz w:val="18"/>
          <w:szCs w:val="18"/>
        </w:rPr>
        <w:t xml:space="preserve"> Article</w:t>
      </w:r>
      <w:r w:rsidR="00CB6176" w:rsidRPr="008832DF">
        <w:rPr>
          <w:rFonts w:ascii="Garamond" w:hAnsi="Garamond"/>
          <w:sz w:val="18"/>
          <w:szCs w:val="18"/>
        </w:rPr>
        <w:t> </w:t>
      </w:r>
      <w:r w:rsidRPr="008832DF">
        <w:rPr>
          <w:rFonts w:ascii="Garamond" w:hAnsi="Garamond"/>
          <w:sz w:val="18"/>
          <w:szCs w:val="18"/>
        </w:rPr>
        <w:t xml:space="preserve">2 of the </w:t>
      </w:r>
      <w:r w:rsidRPr="008832DF">
        <w:rPr>
          <w:rFonts w:ascii="Garamond" w:hAnsi="Garamond"/>
          <w:i/>
          <w:sz w:val="18"/>
          <w:szCs w:val="18"/>
        </w:rPr>
        <w:t>Convention on Access to Information, Public Participation in Decision-Making and Access to Justice in Environmental Matters</w:t>
      </w:r>
      <w:r w:rsidRPr="008832DF">
        <w:rPr>
          <w:rFonts w:ascii="Garamond" w:hAnsi="Garamond"/>
          <w:sz w:val="18"/>
          <w:szCs w:val="18"/>
        </w:rPr>
        <w:t>, done at Aarhus</w:t>
      </w:r>
      <w:r w:rsidR="00F04CD7" w:rsidRPr="008832DF">
        <w:rPr>
          <w:rFonts w:ascii="Garamond" w:hAnsi="Garamond"/>
          <w:sz w:val="18"/>
          <w:szCs w:val="18"/>
        </w:rPr>
        <w:t>, J</w:t>
      </w:r>
      <w:r w:rsidRPr="008832DF">
        <w:rPr>
          <w:rFonts w:ascii="Garamond" w:hAnsi="Garamond"/>
          <w:sz w:val="18"/>
          <w:szCs w:val="18"/>
        </w:rPr>
        <w:t>une</w:t>
      </w:r>
      <w:r w:rsidR="00F04CD7" w:rsidRPr="008832DF">
        <w:rPr>
          <w:rFonts w:ascii="Garamond" w:hAnsi="Garamond"/>
          <w:sz w:val="18"/>
          <w:szCs w:val="18"/>
        </w:rPr>
        <w:t xml:space="preserve"> 25,</w:t>
      </w:r>
      <w:r w:rsidRPr="008832DF">
        <w:rPr>
          <w:rFonts w:ascii="Garamond" w:hAnsi="Garamond"/>
          <w:sz w:val="18"/>
          <w:szCs w:val="18"/>
        </w:rPr>
        <w:t xml:space="preserve"> 1998.</w:t>
      </w:r>
    </w:p>
  </w:footnote>
  <w:footnote w:id="19">
    <w:p w14:paraId="0D4643E6" w14:textId="646D0539" w:rsidR="00F408D8" w:rsidRPr="008832DF" w:rsidRDefault="00F408D8" w:rsidP="000B39D7">
      <w:pPr>
        <w:pStyle w:val="Notedebasdepage"/>
        <w:jc w:val="both"/>
        <w:rPr>
          <w:rFonts w:ascii="Garamond" w:hAnsi="Garamond"/>
          <w:sz w:val="18"/>
          <w:szCs w:val="18"/>
        </w:rPr>
      </w:pPr>
      <w:r w:rsidRPr="008832DF">
        <w:rPr>
          <w:rStyle w:val="Appelnotedebasdep"/>
          <w:rFonts w:ascii="Garamond" w:hAnsi="Garamond"/>
          <w:sz w:val="18"/>
          <w:szCs w:val="18"/>
        </w:rPr>
        <w:footnoteRef/>
      </w:r>
      <w:r w:rsidRPr="008832DF">
        <w:rPr>
          <w:rFonts w:ascii="Garamond" w:hAnsi="Garamond"/>
          <w:sz w:val="18"/>
          <w:szCs w:val="18"/>
        </w:rPr>
        <w:t xml:space="preserve"> </w:t>
      </w:r>
      <w:r w:rsidRPr="008832DF">
        <w:rPr>
          <w:rFonts w:ascii="Garamond" w:hAnsi="Garamond"/>
          <w:i/>
          <w:sz w:val="18"/>
          <w:szCs w:val="18"/>
        </w:rPr>
        <w:t>See</w:t>
      </w:r>
      <w:r w:rsidRPr="008832DF">
        <w:rPr>
          <w:rFonts w:ascii="Garamond" w:hAnsi="Garamond"/>
          <w:sz w:val="18"/>
          <w:szCs w:val="18"/>
        </w:rPr>
        <w:t xml:space="preserve"> Section</w:t>
      </w:r>
      <w:r w:rsidR="00CB6176" w:rsidRPr="008832DF">
        <w:rPr>
          <w:rFonts w:ascii="Garamond" w:hAnsi="Garamond"/>
          <w:sz w:val="18"/>
          <w:szCs w:val="18"/>
        </w:rPr>
        <w:t> </w:t>
      </w:r>
      <w:r w:rsidRPr="008832DF">
        <w:rPr>
          <w:rFonts w:ascii="Garamond" w:hAnsi="Garamond"/>
          <w:sz w:val="18"/>
          <w:szCs w:val="18"/>
        </w:rPr>
        <w:t>1, Article</w:t>
      </w:r>
      <w:r w:rsidR="00CB6176" w:rsidRPr="008832DF">
        <w:rPr>
          <w:rFonts w:ascii="Garamond" w:hAnsi="Garamond"/>
          <w:sz w:val="18"/>
          <w:szCs w:val="18"/>
        </w:rPr>
        <w:t> </w:t>
      </w:r>
      <w:r w:rsidRPr="008832DF">
        <w:rPr>
          <w:rFonts w:ascii="Garamond" w:hAnsi="Garamond"/>
          <w:sz w:val="18"/>
          <w:szCs w:val="18"/>
        </w:rPr>
        <w:t xml:space="preserve">1 of the </w:t>
      </w:r>
      <w:r w:rsidRPr="008832DF">
        <w:rPr>
          <w:rFonts w:ascii="Garamond" w:hAnsi="Garamond"/>
          <w:i/>
          <w:sz w:val="18"/>
          <w:szCs w:val="18"/>
        </w:rPr>
        <w:t>Council of Europe Convention on Access to Public Documents</w:t>
      </w:r>
      <w:r w:rsidRPr="008832DF">
        <w:rPr>
          <w:rFonts w:ascii="Garamond" w:hAnsi="Garamond"/>
          <w:sz w:val="18"/>
          <w:szCs w:val="18"/>
        </w:rPr>
        <w:t>.</w:t>
      </w:r>
    </w:p>
  </w:footnote>
  <w:footnote w:id="20">
    <w:p w14:paraId="1803B0AC" w14:textId="654BB898" w:rsidR="008E7EF2" w:rsidRPr="008832DF" w:rsidRDefault="008E7EF2" w:rsidP="000B39D7">
      <w:pPr>
        <w:pStyle w:val="Notedebasdepage"/>
        <w:jc w:val="both"/>
        <w:rPr>
          <w:rFonts w:ascii="Garamond" w:hAnsi="Garamond"/>
          <w:sz w:val="18"/>
          <w:szCs w:val="18"/>
        </w:rPr>
      </w:pPr>
      <w:r w:rsidRPr="008832DF">
        <w:rPr>
          <w:rStyle w:val="Appelnotedebasdep"/>
          <w:rFonts w:ascii="Garamond" w:hAnsi="Garamond"/>
          <w:sz w:val="18"/>
          <w:szCs w:val="18"/>
        </w:rPr>
        <w:footnoteRef/>
      </w:r>
      <w:r w:rsidRPr="008832DF">
        <w:rPr>
          <w:rFonts w:ascii="Garamond" w:hAnsi="Garamond"/>
          <w:sz w:val="18"/>
          <w:szCs w:val="18"/>
        </w:rPr>
        <w:t xml:space="preserve"> </w:t>
      </w:r>
      <w:r w:rsidRPr="008832DF">
        <w:rPr>
          <w:rFonts w:ascii="Garamond" w:hAnsi="Garamond"/>
          <w:i/>
          <w:sz w:val="18"/>
          <w:szCs w:val="18"/>
        </w:rPr>
        <w:t>See</w:t>
      </w:r>
      <w:r w:rsidRPr="008832DF">
        <w:rPr>
          <w:rFonts w:ascii="Garamond" w:hAnsi="Garamond"/>
          <w:sz w:val="18"/>
          <w:szCs w:val="18"/>
        </w:rPr>
        <w:t xml:space="preserve"> the Preamble of the </w:t>
      </w:r>
      <w:r w:rsidRPr="008832DF">
        <w:rPr>
          <w:rFonts w:ascii="Garamond" w:hAnsi="Garamond"/>
          <w:i/>
          <w:sz w:val="18"/>
          <w:szCs w:val="18"/>
        </w:rPr>
        <w:t>Council of Europe Convention on Access to Public Documents</w:t>
      </w:r>
      <w:r w:rsidRPr="008832DF">
        <w:rPr>
          <w:rFonts w:ascii="Garamond" w:hAnsi="Garamond"/>
          <w:sz w:val="18"/>
          <w:szCs w:val="18"/>
        </w:rPr>
        <w:t>.</w:t>
      </w:r>
    </w:p>
  </w:footnote>
  <w:footnote w:id="21">
    <w:p w14:paraId="25F49A48" w14:textId="77777777" w:rsidR="00B6709C" w:rsidRPr="008832DF" w:rsidRDefault="00B6709C" w:rsidP="000B39D7">
      <w:pPr>
        <w:pStyle w:val="Notedebasdepage"/>
        <w:jc w:val="both"/>
        <w:rPr>
          <w:rFonts w:ascii="Garamond" w:hAnsi="Garamond"/>
          <w:sz w:val="18"/>
          <w:szCs w:val="18"/>
        </w:rPr>
      </w:pPr>
      <w:r w:rsidRPr="008832DF">
        <w:rPr>
          <w:rStyle w:val="Appelnotedebasdep"/>
          <w:rFonts w:ascii="Garamond" w:hAnsi="Garamond"/>
          <w:sz w:val="18"/>
          <w:szCs w:val="18"/>
        </w:rPr>
        <w:footnoteRef/>
      </w:r>
      <w:r w:rsidRPr="008832DF">
        <w:rPr>
          <w:rFonts w:ascii="Garamond" w:hAnsi="Garamond"/>
          <w:sz w:val="18"/>
          <w:szCs w:val="18"/>
        </w:rPr>
        <w:t xml:space="preserve"> </w:t>
      </w:r>
      <w:r w:rsidRPr="008832DF">
        <w:rPr>
          <w:rFonts w:ascii="Garamond" w:hAnsi="Garamond"/>
          <w:i/>
          <w:sz w:val="18"/>
          <w:szCs w:val="18"/>
        </w:rPr>
        <w:t>See</w:t>
      </w:r>
      <w:r w:rsidRPr="008832DF">
        <w:rPr>
          <w:rFonts w:ascii="Garamond" w:hAnsi="Garamond"/>
          <w:sz w:val="18"/>
          <w:szCs w:val="18"/>
        </w:rPr>
        <w:t xml:space="preserve"> the </w:t>
      </w:r>
      <w:r w:rsidRPr="008832DF">
        <w:rPr>
          <w:rFonts w:ascii="Garamond" w:hAnsi="Garamond"/>
          <w:i/>
          <w:sz w:val="18"/>
          <w:szCs w:val="18"/>
        </w:rPr>
        <w:t>Declaration on Parliamentary Openness</w:t>
      </w:r>
      <w:r w:rsidRPr="008832DF">
        <w:rPr>
          <w:rFonts w:ascii="Garamond" w:hAnsi="Garamond"/>
          <w:sz w:val="18"/>
          <w:szCs w:val="18"/>
        </w:rPr>
        <w:t>.</w:t>
      </w:r>
    </w:p>
  </w:footnote>
  <w:footnote w:id="22">
    <w:p w14:paraId="5A44F4C0" w14:textId="312CB532" w:rsidR="00B6709C" w:rsidRPr="008832DF" w:rsidRDefault="00B6709C" w:rsidP="000B39D7">
      <w:pPr>
        <w:pStyle w:val="Notedebasdepage"/>
        <w:jc w:val="both"/>
        <w:rPr>
          <w:rFonts w:ascii="Garamond" w:hAnsi="Garamond"/>
          <w:sz w:val="18"/>
          <w:szCs w:val="18"/>
        </w:rPr>
      </w:pPr>
      <w:r w:rsidRPr="008832DF">
        <w:rPr>
          <w:rStyle w:val="Appelnotedebasdep"/>
          <w:rFonts w:ascii="Garamond" w:hAnsi="Garamond"/>
          <w:sz w:val="18"/>
          <w:szCs w:val="18"/>
        </w:rPr>
        <w:footnoteRef/>
      </w:r>
      <w:r w:rsidRPr="008832DF">
        <w:rPr>
          <w:rFonts w:ascii="Garamond" w:hAnsi="Garamond"/>
          <w:sz w:val="18"/>
          <w:szCs w:val="18"/>
        </w:rPr>
        <w:t xml:space="preserve"> </w:t>
      </w:r>
      <w:r w:rsidRPr="008832DF">
        <w:rPr>
          <w:rFonts w:ascii="Garamond" w:hAnsi="Garamond"/>
          <w:i/>
          <w:sz w:val="18"/>
          <w:szCs w:val="18"/>
        </w:rPr>
        <w:t>See</w:t>
      </w:r>
      <w:r w:rsidRPr="008832DF">
        <w:rPr>
          <w:rFonts w:ascii="Garamond" w:hAnsi="Garamond"/>
          <w:sz w:val="18"/>
          <w:szCs w:val="18"/>
        </w:rPr>
        <w:t xml:space="preserve"> </w:t>
      </w:r>
      <w:r w:rsidRPr="008832DF">
        <w:rPr>
          <w:rFonts w:ascii="Garamond" w:hAnsi="Garamond"/>
          <w:i/>
          <w:sz w:val="18"/>
          <w:szCs w:val="18"/>
        </w:rPr>
        <w:t>Declaration on P</w:t>
      </w:r>
      <w:r w:rsidR="002A7CFC" w:rsidRPr="008832DF">
        <w:rPr>
          <w:rFonts w:ascii="Garamond" w:hAnsi="Garamond"/>
          <w:i/>
          <w:sz w:val="18"/>
          <w:szCs w:val="18"/>
        </w:rPr>
        <w:t>arliamentary Openness</w:t>
      </w:r>
      <w:r w:rsidR="002A7CFC" w:rsidRPr="008832DF">
        <w:rPr>
          <w:rFonts w:ascii="Garamond" w:hAnsi="Garamond"/>
          <w:sz w:val="18"/>
          <w:szCs w:val="18"/>
        </w:rPr>
        <w:t>, Provision Commentary.</w:t>
      </w:r>
    </w:p>
  </w:footnote>
  <w:footnote w:id="23">
    <w:p w14:paraId="71565F99" w14:textId="62795455" w:rsidR="000F5451" w:rsidRPr="008832DF" w:rsidRDefault="000F5451" w:rsidP="000B39D7">
      <w:pPr>
        <w:pStyle w:val="Notedebasdepage"/>
        <w:rPr>
          <w:rFonts w:ascii="Garamond" w:hAnsi="Garamond"/>
          <w:sz w:val="18"/>
          <w:szCs w:val="18"/>
        </w:rPr>
      </w:pPr>
      <w:r w:rsidRPr="008832DF">
        <w:rPr>
          <w:rStyle w:val="Appelnotedebasdep"/>
          <w:rFonts w:ascii="Garamond" w:hAnsi="Garamond"/>
          <w:sz w:val="18"/>
          <w:szCs w:val="18"/>
        </w:rPr>
        <w:footnoteRef/>
      </w:r>
      <w:r w:rsidRPr="008832DF">
        <w:rPr>
          <w:rFonts w:ascii="Garamond" w:hAnsi="Garamond"/>
          <w:sz w:val="18"/>
          <w:szCs w:val="18"/>
        </w:rPr>
        <w:t xml:space="preserve"> </w:t>
      </w:r>
      <w:r w:rsidRPr="008832DF">
        <w:rPr>
          <w:rFonts w:ascii="Garamond" w:hAnsi="Garamond"/>
          <w:i/>
          <w:sz w:val="18"/>
          <w:szCs w:val="18"/>
        </w:rPr>
        <w:t>See</w:t>
      </w:r>
      <w:r w:rsidRPr="008832DF">
        <w:rPr>
          <w:rFonts w:ascii="Garamond" w:hAnsi="Garamond"/>
          <w:sz w:val="18"/>
          <w:szCs w:val="18"/>
        </w:rPr>
        <w:t xml:space="preserve"> Irène Bouhadana, </w:t>
      </w:r>
      <w:r w:rsidRPr="008832DF">
        <w:rPr>
          <w:rFonts w:ascii="Garamond" w:hAnsi="Garamond"/>
          <w:i/>
          <w:sz w:val="18"/>
          <w:szCs w:val="18"/>
        </w:rPr>
        <w:t>Opening Parliaments in The Open Government Era. Comment on the Declaration on Parliamentary Openness</w:t>
      </w:r>
      <w:r w:rsidRPr="008832DF">
        <w:rPr>
          <w:rFonts w:ascii="Garamond" w:hAnsi="Garamond"/>
          <w:sz w:val="18"/>
          <w:szCs w:val="18"/>
        </w:rPr>
        <w:t xml:space="preserve">, </w:t>
      </w:r>
      <w:r w:rsidRPr="008832DF">
        <w:rPr>
          <w:rFonts w:ascii="Garamond" w:hAnsi="Garamond"/>
          <w:i/>
          <w:sz w:val="18"/>
          <w:szCs w:val="18"/>
        </w:rPr>
        <w:t>op. cit.</w:t>
      </w:r>
    </w:p>
  </w:footnote>
  <w:footnote w:id="24">
    <w:p w14:paraId="50833D92" w14:textId="1BC68FF2" w:rsidR="00D45225" w:rsidRPr="008832DF" w:rsidRDefault="00D45225" w:rsidP="000B39D7">
      <w:pPr>
        <w:pStyle w:val="Notedebasdepage"/>
        <w:jc w:val="both"/>
        <w:rPr>
          <w:rFonts w:ascii="Garamond" w:hAnsi="Garamond"/>
          <w:sz w:val="18"/>
          <w:szCs w:val="18"/>
        </w:rPr>
      </w:pPr>
      <w:r w:rsidRPr="008832DF">
        <w:rPr>
          <w:rStyle w:val="Appelnotedebasdep"/>
          <w:rFonts w:ascii="Garamond" w:hAnsi="Garamond"/>
          <w:sz w:val="18"/>
          <w:szCs w:val="18"/>
        </w:rPr>
        <w:footnoteRef/>
      </w:r>
      <w:r w:rsidRPr="008832DF">
        <w:rPr>
          <w:rFonts w:ascii="Garamond" w:hAnsi="Garamond"/>
          <w:sz w:val="18"/>
          <w:szCs w:val="18"/>
        </w:rPr>
        <w:t xml:space="preserve"> On this subject, </w:t>
      </w:r>
      <w:r w:rsidRPr="008832DF">
        <w:rPr>
          <w:rFonts w:ascii="Garamond" w:hAnsi="Garamond"/>
          <w:i/>
          <w:sz w:val="18"/>
          <w:szCs w:val="18"/>
        </w:rPr>
        <w:t>see</w:t>
      </w:r>
      <w:r w:rsidRPr="008832DF">
        <w:rPr>
          <w:rFonts w:ascii="Garamond" w:hAnsi="Garamond"/>
          <w:sz w:val="18"/>
          <w:szCs w:val="18"/>
        </w:rPr>
        <w:t xml:space="preserve"> for example </w:t>
      </w:r>
      <w:r w:rsidRPr="008832DF">
        <w:rPr>
          <w:rFonts w:ascii="Garamond" w:hAnsi="Garamond"/>
          <w:smallCaps/>
          <w:sz w:val="18"/>
          <w:szCs w:val="18"/>
        </w:rPr>
        <w:t>Irène Bouhadana, William Gilles, Russel Weaver</w:t>
      </w:r>
      <w:r w:rsidR="00512634" w:rsidRPr="008832DF">
        <w:rPr>
          <w:rFonts w:ascii="Garamond" w:hAnsi="Garamond"/>
          <w:sz w:val="18"/>
          <w:szCs w:val="18"/>
        </w:rPr>
        <w:t xml:space="preserve"> (eds.)</w:t>
      </w:r>
      <w:r w:rsidRPr="008832DF">
        <w:rPr>
          <w:rFonts w:ascii="Garamond" w:hAnsi="Garamond"/>
          <w:sz w:val="18"/>
          <w:szCs w:val="18"/>
        </w:rPr>
        <w:t xml:space="preserve">, </w:t>
      </w:r>
      <w:r w:rsidRPr="008832DF">
        <w:rPr>
          <w:rFonts w:ascii="Garamond" w:hAnsi="Garamond"/>
          <w:smallCaps/>
          <w:sz w:val="18"/>
          <w:szCs w:val="18"/>
        </w:rPr>
        <w:t>Transparency in the Open Government Era</w:t>
      </w:r>
      <w:r w:rsidRPr="008832DF">
        <w:rPr>
          <w:rFonts w:ascii="Garamond" w:hAnsi="Garamond"/>
          <w:sz w:val="18"/>
          <w:szCs w:val="18"/>
        </w:rPr>
        <w:t>, Les Éditions Imodev, March, 2015.</w:t>
      </w:r>
    </w:p>
  </w:footnote>
  <w:footnote w:id="25">
    <w:p w14:paraId="1D05AC93" w14:textId="59757BDB" w:rsidR="00D4211B" w:rsidRPr="008832DF" w:rsidRDefault="00D4211B" w:rsidP="000B39D7">
      <w:pPr>
        <w:pStyle w:val="Notedebasdepage"/>
        <w:jc w:val="both"/>
        <w:rPr>
          <w:rFonts w:ascii="Garamond" w:hAnsi="Garamond"/>
          <w:sz w:val="18"/>
          <w:szCs w:val="18"/>
        </w:rPr>
      </w:pPr>
      <w:r w:rsidRPr="008832DF">
        <w:rPr>
          <w:rStyle w:val="Appelnotedebasdep"/>
          <w:rFonts w:ascii="Garamond" w:hAnsi="Garamond"/>
          <w:sz w:val="18"/>
          <w:szCs w:val="18"/>
        </w:rPr>
        <w:footnoteRef/>
      </w:r>
      <w:r w:rsidRPr="008832DF">
        <w:rPr>
          <w:rFonts w:ascii="Garamond" w:hAnsi="Garamond"/>
          <w:sz w:val="18"/>
          <w:szCs w:val="18"/>
        </w:rPr>
        <w:t xml:space="preserve"> </w:t>
      </w:r>
      <w:r w:rsidR="00512634" w:rsidRPr="008832DF">
        <w:rPr>
          <w:rFonts w:ascii="Garamond" w:hAnsi="Garamond"/>
          <w:sz w:val="18"/>
          <w:szCs w:val="18"/>
        </w:rPr>
        <w:t>Article</w:t>
      </w:r>
      <w:r w:rsidR="00CB6176" w:rsidRPr="008832DF">
        <w:rPr>
          <w:rFonts w:ascii="Garamond" w:hAnsi="Garamond"/>
          <w:sz w:val="18"/>
          <w:szCs w:val="18"/>
        </w:rPr>
        <w:t> </w:t>
      </w:r>
      <w:r w:rsidR="00512634" w:rsidRPr="008832DF">
        <w:rPr>
          <w:rFonts w:ascii="Garamond" w:hAnsi="Garamond"/>
          <w:sz w:val="18"/>
          <w:szCs w:val="18"/>
        </w:rPr>
        <w:t>3 of the Council of Europe Convention on Access to Official Documents.</w:t>
      </w:r>
    </w:p>
  </w:footnote>
  <w:footnote w:id="26">
    <w:p w14:paraId="32F79C3E" w14:textId="578C999C" w:rsidR="00D4211B" w:rsidRPr="008832DF" w:rsidRDefault="00D4211B" w:rsidP="000B39D7">
      <w:pPr>
        <w:pStyle w:val="Notedebasdepage"/>
        <w:jc w:val="both"/>
        <w:rPr>
          <w:rFonts w:ascii="Garamond" w:hAnsi="Garamond"/>
          <w:sz w:val="18"/>
          <w:szCs w:val="18"/>
        </w:rPr>
      </w:pPr>
      <w:r w:rsidRPr="008832DF">
        <w:rPr>
          <w:rStyle w:val="Appelnotedebasdep"/>
          <w:rFonts w:ascii="Garamond" w:hAnsi="Garamond"/>
          <w:sz w:val="18"/>
          <w:szCs w:val="18"/>
        </w:rPr>
        <w:footnoteRef/>
      </w:r>
      <w:r w:rsidRPr="008832DF">
        <w:rPr>
          <w:rFonts w:ascii="Garamond" w:hAnsi="Garamond"/>
          <w:sz w:val="18"/>
          <w:szCs w:val="18"/>
        </w:rPr>
        <w:t xml:space="preserve"> </w:t>
      </w:r>
      <w:r w:rsidRPr="008832DF">
        <w:rPr>
          <w:rFonts w:ascii="Garamond" w:hAnsi="Garamond"/>
          <w:i/>
          <w:sz w:val="18"/>
          <w:szCs w:val="18"/>
        </w:rPr>
        <w:t>See</w:t>
      </w:r>
      <w:r w:rsidRPr="008832DF">
        <w:rPr>
          <w:rFonts w:ascii="Garamond" w:hAnsi="Garamond"/>
          <w:sz w:val="18"/>
          <w:szCs w:val="18"/>
        </w:rPr>
        <w:t xml:space="preserve"> </w:t>
      </w:r>
      <w:r w:rsidRPr="008832DF">
        <w:rPr>
          <w:rFonts w:ascii="Garamond" w:hAnsi="Garamond"/>
          <w:i/>
          <w:sz w:val="18"/>
          <w:szCs w:val="18"/>
        </w:rPr>
        <w:t>Declaration on Parliamentary Openness</w:t>
      </w:r>
      <w:r w:rsidRPr="008832DF">
        <w:rPr>
          <w:rFonts w:ascii="Garamond" w:hAnsi="Garamond"/>
          <w:sz w:val="18"/>
          <w:szCs w:val="18"/>
        </w:rPr>
        <w:t>, Provision Commentary.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A32FD" w14:textId="77777777" w:rsidR="002F65A1" w:rsidRDefault="002F65A1">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820AD" w14:textId="4CA6754C" w:rsidR="00F04CD7" w:rsidRPr="004F0B39" w:rsidRDefault="004F0B39" w:rsidP="002F65A1">
    <w:pPr>
      <w:pStyle w:val="En-tte"/>
      <w:pBdr>
        <w:bottom w:val="single" w:sz="4" w:space="1" w:color="auto"/>
      </w:pBdr>
      <w:jc w:val="center"/>
      <w:rPr>
        <w:rFonts w:ascii="Garamond" w:hAnsi="Garamond"/>
        <w:b/>
        <w:i/>
        <w:sz w:val="16"/>
        <w:szCs w:val="16"/>
      </w:rPr>
    </w:pPr>
    <w:r w:rsidRPr="0019665F">
      <w:rPr>
        <w:b/>
        <w:i/>
        <w:noProof/>
        <w:sz w:val="16"/>
        <w:szCs w:val="16"/>
        <w:lang w:val="fr-FR" w:eastAsia="fr-FR" w:bidi="ar-SA"/>
      </w:rPr>
      <w:drawing>
        <wp:anchor distT="0" distB="0" distL="114300" distR="114300" simplePos="0" relativeHeight="251659264" behindDoc="1" locked="0" layoutInCell="1" allowOverlap="1" wp14:anchorId="220E1A31" wp14:editId="16E45AD4">
          <wp:simplePos x="0" y="0"/>
          <wp:positionH relativeFrom="column">
            <wp:posOffset>3516839</wp:posOffset>
          </wp:positionH>
          <wp:positionV relativeFrom="paragraph">
            <wp:posOffset>-674016</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9AC" w:rsidRPr="004F0B39">
      <w:rPr>
        <w:rFonts w:ascii="Garamond" w:hAnsi="Garamond"/>
        <w:b/>
        <w:i/>
        <w:sz w:val="16"/>
        <w:szCs w:val="16"/>
      </w:rPr>
      <w:t>The right of Access to Public Information : An Analysis of International Conventions – Irène Bouhadana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69302" w14:textId="517D3222" w:rsidR="004F0B39" w:rsidRPr="004F0B39" w:rsidRDefault="004F0B39" w:rsidP="004F0B39">
    <w:pPr>
      <w:pStyle w:val="En-tte"/>
    </w:pPr>
    <w:r w:rsidRPr="0019665F">
      <w:rPr>
        <w:b/>
        <w:i/>
        <w:noProof/>
        <w:sz w:val="16"/>
        <w:szCs w:val="16"/>
        <w:lang w:val="fr-FR" w:eastAsia="fr-FR" w:bidi="ar-SA"/>
      </w:rPr>
      <w:drawing>
        <wp:anchor distT="0" distB="0" distL="114300" distR="114300" simplePos="0" relativeHeight="251661312" behindDoc="1" locked="0" layoutInCell="1" allowOverlap="1" wp14:anchorId="4AF92841" wp14:editId="110FCF9D">
          <wp:simplePos x="0" y="0"/>
          <wp:positionH relativeFrom="column">
            <wp:posOffset>3507274</wp:posOffset>
          </wp:positionH>
          <wp:positionV relativeFrom="paragraph">
            <wp:posOffset>-672111</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C6810"/>
    <w:multiLevelType w:val="hybridMultilevel"/>
    <w:tmpl w:val="0A104406"/>
    <w:lvl w:ilvl="0" w:tplc="D83E771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BE"/>
    <w:rsid w:val="00004A8F"/>
    <w:rsid w:val="00062237"/>
    <w:rsid w:val="000A5A0B"/>
    <w:rsid w:val="000B39D7"/>
    <w:rsid w:val="000F5451"/>
    <w:rsid w:val="001231F3"/>
    <w:rsid w:val="00154686"/>
    <w:rsid w:val="00154E3F"/>
    <w:rsid w:val="001569FD"/>
    <w:rsid w:val="001A780C"/>
    <w:rsid w:val="001D1EEF"/>
    <w:rsid w:val="00251BE5"/>
    <w:rsid w:val="002917B7"/>
    <w:rsid w:val="002A7CFC"/>
    <w:rsid w:val="002B7EDE"/>
    <w:rsid w:val="002F65A1"/>
    <w:rsid w:val="00301A38"/>
    <w:rsid w:val="00310BC6"/>
    <w:rsid w:val="003974F3"/>
    <w:rsid w:val="003A19BD"/>
    <w:rsid w:val="003B5DAE"/>
    <w:rsid w:val="003C6801"/>
    <w:rsid w:val="003D04D8"/>
    <w:rsid w:val="003E286C"/>
    <w:rsid w:val="004079C3"/>
    <w:rsid w:val="004477A2"/>
    <w:rsid w:val="004526CD"/>
    <w:rsid w:val="00462502"/>
    <w:rsid w:val="00487DB9"/>
    <w:rsid w:val="004956C2"/>
    <w:rsid w:val="004C1D6B"/>
    <w:rsid w:val="004D4FBE"/>
    <w:rsid w:val="004D6241"/>
    <w:rsid w:val="004F0B39"/>
    <w:rsid w:val="00512634"/>
    <w:rsid w:val="00521248"/>
    <w:rsid w:val="005A2A2F"/>
    <w:rsid w:val="005C38E2"/>
    <w:rsid w:val="005D4C67"/>
    <w:rsid w:val="005D5BEC"/>
    <w:rsid w:val="005F6F50"/>
    <w:rsid w:val="00604142"/>
    <w:rsid w:val="006049F0"/>
    <w:rsid w:val="00622195"/>
    <w:rsid w:val="00624BE6"/>
    <w:rsid w:val="0066397C"/>
    <w:rsid w:val="006F3668"/>
    <w:rsid w:val="007675B0"/>
    <w:rsid w:val="007A20CB"/>
    <w:rsid w:val="007E6EDF"/>
    <w:rsid w:val="007F6548"/>
    <w:rsid w:val="008126C8"/>
    <w:rsid w:val="008277EF"/>
    <w:rsid w:val="008832DF"/>
    <w:rsid w:val="008A2599"/>
    <w:rsid w:val="008E76F6"/>
    <w:rsid w:val="008E7EF2"/>
    <w:rsid w:val="00915DDE"/>
    <w:rsid w:val="009342B9"/>
    <w:rsid w:val="00974078"/>
    <w:rsid w:val="009744A4"/>
    <w:rsid w:val="00994CA1"/>
    <w:rsid w:val="009A6FFB"/>
    <w:rsid w:val="009F4405"/>
    <w:rsid w:val="00A05136"/>
    <w:rsid w:val="00A0588F"/>
    <w:rsid w:val="00A17EA7"/>
    <w:rsid w:val="00AB2C61"/>
    <w:rsid w:val="00AB53B7"/>
    <w:rsid w:val="00AE6CA3"/>
    <w:rsid w:val="00B509E8"/>
    <w:rsid w:val="00B6709C"/>
    <w:rsid w:val="00B90265"/>
    <w:rsid w:val="00B96223"/>
    <w:rsid w:val="00BF322F"/>
    <w:rsid w:val="00C91529"/>
    <w:rsid w:val="00C94733"/>
    <w:rsid w:val="00CB6176"/>
    <w:rsid w:val="00CB64F0"/>
    <w:rsid w:val="00CC6C85"/>
    <w:rsid w:val="00CE72FD"/>
    <w:rsid w:val="00D15484"/>
    <w:rsid w:val="00D335C0"/>
    <w:rsid w:val="00D4211B"/>
    <w:rsid w:val="00D45225"/>
    <w:rsid w:val="00D831D9"/>
    <w:rsid w:val="00DA298D"/>
    <w:rsid w:val="00DB78DF"/>
    <w:rsid w:val="00E36ED7"/>
    <w:rsid w:val="00E4784B"/>
    <w:rsid w:val="00EE0229"/>
    <w:rsid w:val="00EF19AC"/>
    <w:rsid w:val="00F04CD7"/>
    <w:rsid w:val="00F2464F"/>
    <w:rsid w:val="00F36578"/>
    <w:rsid w:val="00F408D8"/>
    <w:rsid w:val="00F4429F"/>
    <w:rsid w:val="00F65260"/>
    <w:rsid w:val="00F777FE"/>
    <w:rsid w:val="00FE6DD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0220"/>
  <w15:docId w15:val="{239A9B98-F295-4EF5-A3FB-08790930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FBE"/>
    <w:pPr>
      <w:spacing w:after="200" w:line="276" w:lineRule="auto"/>
    </w:pPr>
  </w:style>
  <w:style w:type="paragraph" w:styleId="Titre1">
    <w:name w:val="heading 1"/>
    <w:basedOn w:val="Normal"/>
    <w:next w:val="Normal"/>
    <w:link w:val="Titre1Car"/>
    <w:uiPriority w:val="9"/>
    <w:qFormat/>
    <w:rsid w:val="000B39D7"/>
    <w:pPr>
      <w:spacing w:before="240" w:after="240" w:line="240" w:lineRule="auto"/>
      <w:jc w:val="both"/>
      <w:outlineLvl w:val="0"/>
    </w:pPr>
    <w:rPr>
      <w:rFonts w:ascii="Garamond" w:hAnsi="Garamond" w:cs="Times New Roman"/>
      <w:b/>
      <w:color w:val="003294"/>
      <w:sz w:val="24"/>
      <w:szCs w:val="24"/>
    </w:rPr>
  </w:style>
  <w:style w:type="paragraph" w:styleId="Titre3">
    <w:name w:val="heading 3"/>
    <w:basedOn w:val="Normal"/>
    <w:link w:val="Titre3Car"/>
    <w:uiPriority w:val="9"/>
    <w:qFormat/>
    <w:rsid w:val="00487DB9"/>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4D4FBE"/>
    <w:pPr>
      <w:ind w:left="720"/>
      <w:contextualSpacing/>
    </w:pPr>
  </w:style>
  <w:style w:type="paragraph" w:styleId="Commentaire">
    <w:name w:val="annotation text"/>
    <w:basedOn w:val="Normal"/>
    <w:link w:val="CommentaireCar"/>
    <w:uiPriority w:val="99"/>
    <w:semiHidden/>
    <w:unhideWhenUsed/>
    <w:rsid w:val="004956C2"/>
    <w:pPr>
      <w:spacing w:line="240" w:lineRule="auto"/>
    </w:pPr>
    <w:rPr>
      <w:sz w:val="20"/>
      <w:szCs w:val="20"/>
    </w:rPr>
  </w:style>
  <w:style w:type="character" w:styleId="Marquedecommentaire">
    <w:name w:val="annotation reference"/>
    <w:uiPriority w:val="99"/>
    <w:semiHidden/>
    <w:unhideWhenUsed/>
    <w:rsid w:val="004956C2"/>
    <w:rPr>
      <w:sz w:val="16"/>
      <w:szCs w:val="16"/>
    </w:rPr>
  </w:style>
  <w:style w:type="paragraph" w:styleId="Textedebulles">
    <w:name w:val="Balloon Text"/>
    <w:basedOn w:val="Normal"/>
    <w:link w:val="TextedebullesCar"/>
    <w:uiPriority w:val="99"/>
    <w:semiHidden/>
    <w:unhideWhenUsed/>
    <w:rsid w:val="00462502"/>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462502"/>
    <w:rPr>
      <w:rFonts w:ascii="Lucida Grande" w:hAnsi="Lucida Grande"/>
      <w:sz w:val="18"/>
      <w:szCs w:val="18"/>
    </w:rPr>
  </w:style>
  <w:style w:type="paragraph" w:styleId="Notedebasdepage">
    <w:name w:val="footnote text"/>
    <w:basedOn w:val="Normal"/>
    <w:link w:val="NotedebasdepageCar"/>
    <w:uiPriority w:val="99"/>
    <w:unhideWhenUsed/>
    <w:rsid w:val="00AE6CA3"/>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rsid w:val="00AE6CA3"/>
    <w:rPr>
      <w:rFonts w:ascii="Calibri" w:eastAsia="Calibri" w:hAnsi="Calibri" w:cs="Times New Roman"/>
      <w:sz w:val="20"/>
      <w:szCs w:val="20"/>
    </w:rPr>
  </w:style>
  <w:style w:type="character" w:styleId="Appelnotedebasdep">
    <w:name w:val="footnote reference"/>
    <w:uiPriority w:val="99"/>
    <w:semiHidden/>
    <w:unhideWhenUsed/>
    <w:rsid w:val="00AE6CA3"/>
    <w:rPr>
      <w:vertAlign w:val="superscript"/>
    </w:rPr>
  </w:style>
  <w:style w:type="character" w:customStyle="1" w:styleId="CommentaireCar">
    <w:name w:val="Commentaire Car"/>
    <w:link w:val="Commentaire"/>
    <w:uiPriority w:val="99"/>
    <w:semiHidden/>
    <w:rsid w:val="00AE6CA3"/>
    <w:rPr>
      <w:sz w:val="20"/>
      <w:szCs w:val="20"/>
    </w:rPr>
  </w:style>
  <w:style w:type="paragraph" w:styleId="En-tte">
    <w:name w:val="header"/>
    <w:basedOn w:val="Normal"/>
    <w:link w:val="En-tteCar"/>
    <w:uiPriority w:val="99"/>
    <w:unhideWhenUsed/>
    <w:rsid w:val="004D6241"/>
    <w:pPr>
      <w:tabs>
        <w:tab w:val="center" w:pos="4536"/>
        <w:tab w:val="right" w:pos="9072"/>
      </w:tabs>
      <w:spacing w:after="0" w:line="240" w:lineRule="auto"/>
    </w:pPr>
  </w:style>
  <w:style w:type="character" w:customStyle="1" w:styleId="En-tteCar">
    <w:name w:val="En-tête Car"/>
    <w:basedOn w:val="Policepardfaut"/>
    <w:link w:val="En-tte"/>
    <w:uiPriority w:val="99"/>
    <w:rsid w:val="004D6241"/>
  </w:style>
  <w:style w:type="paragraph" w:styleId="Pieddepage">
    <w:name w:val="footer"/>
    <w:basedOn w:val="Normal"/>
    <w:link w:val="PieddepageCar"/>
    <w:uiPriority w:val="99"/>
    <w:unhideWhenUsed/>
    <w:rsid w:val="004D62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6241"/>
  </w:style>
  <w:style w:type="paragraph" w:customStyle="1" w:styleId="Default">
    <w:name w:val="Default"/>
    <w:rsid w:val="00974078"/>
    <w:pPr>
      <w:autoSpaceDE w:val="0"/>
      <w:autoSpaceDN w:val="0"/>
      <w:adjustRightInd w:val="0"/>
      <w:spacing w:after="0" w:line="240" w:lineRule="auto"/>
    </w:pPr>
    <w:rPr>
      <w:rFonts w:ascii="Times New Roman PS MT" w:hAnsi="Times New Roman PS MT" w:cs="Times New Roman PS MT"/>
      <w:color w:val="000000"/>
      <w:sz w:val="24"/>
      <w:szCs w:val="24"/>
      <w:lang w:val="fr-FR" w:bidi="ar-SA"/>
    </w:rPr>
  </w:style>
  <w:style w:type="paragraph" w:customStyle="1" w:styleId="Paragraphestandard">
    <w:name w:val="[Paragraphe standard]"/>
    <w:basedOn w:val="Normal"/>
    <w:uiPriority w:val="99"/>
    <w:rsid w:val="00974078"/>
    <w:pPr>
      <w:autoSpaceDE w:val="0"/>
      <w:autoSpaceDN w:val="0"/>
      <w:adjustRightInd w:val="0"/>
      <w:spacing w:after="0" w:line="288" w:lineRule="auto"/>
      <w:textAlignment w:val="center"/>
    </w:pPr>
    <w:rPr>
      <w:rFonts w:ascii="Minion Pro" w:hAnsi="Minion Pro" w:cs="Minion Pro"/>
      <w:color w:val="000000"/>
      <w:sz w:val="24"/>
      <w:szCs w:val="24"/>
      <w:lang w:val="fr-FR" w:bidi="ar-SA"/>
    </w:rPr>
  </w:style>
  <w:style w:type="character" w:customStyle="1" w:styleId="Titre3Car">
    <w:name w:val="Titre 3 Car"/>
    <w:basedOn w:val="Policepardfaut"/>
    <w:link w:val="Titre3"/>
    <w:uiPriority w:val="9"/>
    <w:rsid w:val="00487DB9"/>
    <w:rPr>
      <w:rFonts w:ascii="Times New Roman" w:eastAsia="Times New Roman" w:hAnsi="Times New Roman" w:cs="Times New Roman"/>
      <w:b/>
      <w:bCs/>
      <w:sz w:val="27"/>
      <w:szCs w:val="27"/>
      <w:lang w:val="fr-FR" w:eastAsia="fr-FR" w:bidi="ar-SA"/>
    </w:rPr>
  </w:style>
  <w:style w:type="character" w:styleId="Emphase">
    <w:name w:val="Emphasis"/>
    <w:basedOn w:val="Policepardfaut"/>
    <w:uiPriority w:val="20"/>
    <w:qFormat/>
    <w:rsid w:val="00487DB9"/>
    <w:rPr>
      <w:i/>
      <w:iCs/>
    </w:rPr>
  </w:style>
  <w:style w:type="character" w:customStyle="1" w:styleId="Titre1Car">
    <w:name w:val="Titre 1 Car"/>
    <w:basedOn w:val="Policepardfaut"/>
    <w:link w:val="Titre1"/>
    <w:uiPriority w:val="9"/>
    <w:rsid w:val="000B39D7"/>
    <w:rPr>
      <w:rFonts w:ascii="Garamond" w:hAnsi="Garamond" w:cs="Times New Roman"/>
      <w:b/>
      <w:color w:val="003294"/>
      <w:sz w:val="24"/>
      <w:szCs w:val="24"/>
    </w:rPr>
  </w:style>
  <w:style w:type="character" w:customStyle="1" w:styleId="addmd">
    <w:name w:val="addmd"/>
    <w:basedOn w:val="Policepardfaut"/>
    <w:rsid w:val="00487DB9"/>
  </w:style>
  <w:style w:type="character" w:customStyle="1" w:styleId="apple-converted-space">
    <w:name w:val="apple-converted-space"/>
    <w:basedOn w:val="Policepardfaut"/>
    <w:rsid w:val="007F6548"/>
  </w:style>
  <w:style w:type="paragraph" w:styleId="Titre">
    <w:name w:val="Title"/>
    <w:basedOn w:val="Normal"/>
    <w:next w:val="Normal"/>
    <w:link w:val="TitreCar"/>
    <w:uiPriority w:val="10"/>
    <w:qFormat/>
    <w:rsid w:val="000B39D7"/>
    <w:pPr>
      <w:spacing w:before="240" w:after="240" w:line="240" w:lineRule="auto"/>
      <w:jc w:val="center"/>
      <w:outlineLvl w:val="0"/>
    </w:pPr>
    <w:rPr>
      <w:rFonts w:ascii="Garamond" w:hAnsi="Garamond" w:cs="Times New Roman"/>
      <w:b/>
      <w:smallCaps/>
      <w:color w:val="003294"/>
      <w:sz w:val="36"/>
      <w:szCs w:val="36"/>
    </w:rPr>
  </w:style>
  <w:style w:type="character" w:customStyle="1" w:styleId="TitreCar">
    <w:name w:val="Titre Car"/>
    <w:basedOn w:val="Policepardfaut"/>
    <w:link w:val="Titre"/>
    <w:uiPriority w:val="10"/>
    <w:rsid w:val="000B39D7"/>
    <w:rPr>
      <w:rFonts w:ascii="Garamond" w:hAnsi="Garamond" w:cs="Times New Roman"/>
      <w:b/>
      <w:smallCaps/>
      <w:color w:val="003294"/>
      <w:sz w:val="36"/>
      <w:szCs w:val="36"/>
    </w:rPr>
  </w:style>
  <w:style w:type="character" w:styleId="Numrodepage">
    <w:name w:val="page number"/>
    <w:basedOn w:val="Policepardfaut"/>
    <w:uiPriority w:val="99"/>
    <w:semiHidden/>
    <w:unhideWhenUsed/>
    <w:rsid w:val="000B3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62157">
      <w:bodyDiv w:val="1"/>
      <w:marLeft w:val="0"/>
      <w:marRight w:val="0"/>
      <w:marTop w:val="0"/>
      <w:marBottom w:val="0"/>
      <w:divBdr>
        <w:top w:val="none" w:sz="0" w:space="0" w:color="auto"/>
        <w:left w:val="none" w:sz="0" w:space="0" w:color="auto"/>
        <w:bottom w:val="none" w:sz="0" w:space="0" w:color="auto"/>
        <w:right w:val="none" w:sz="0" w:space="0" w:color="auto"/>
      </w:divBdr>
    </w:div>
    <w:div w:id="1653023890">
      <w:bodyDiv w:val="1"/>
      <w:marLeft w:val="0"/>
      <w:marRight w:val="0"/>
      <w:marTop w:val="0"/>
      <w:marBottom w:val="0"/>
      <w:divBdr>
        <w:top w:val="none" w:sz="0" w:space="0" w:color="auto"/>
        <w:left w:val="none" w:sz="0" w:space="0" w:color="auto"/>
        <w:bottom w:val="none" w:sz="0" w:space="0" w:color="auto"/>
        <w:right w:val="none" w:sz="0" w:space="0" w:color="auto"/>
      </w:divBdr>
    </w:div>
    <w:div w:id="180769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72594-0FE8-C34B-B63C-65D5C269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3434</Words>
  <Characters>18887</Characters>
  <Application>Microsoft Macintosh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lpstr>
    </vt:vector>
  </TitlesOfParts>
  <Manager/>
  <Company>www.hltrad.com</Company>
  <LinksUpToDate>false</LinksUpToDate>
  <CharactersWithSpaces>22277</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HL TRAD</dc:creator>
  <cp:keywords> </cp:keywords>
  <dc:description> </dc:description>
  <cp:lastModifiedBy>Utilisateur de Microsoft Office</cp:lastModifiedBy>
  <cp:revision>2</cp:revision>
  <cp:lastPrinted>2015-03-03T23:49:00Z</cp:lastPrinted>
  <dcterms:created xsi:type="dcterms:W3CDTF">2016-03-06T14:37:00Z</dcterms:created>
  <dcterms:modified xsi:type="dcterms:W3CDTF">2016-03-06T14:37:00Z</dcterms:modified>
  <cp:category> </cp:category>
</cp:coreProperties>
</file>