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49568" w14:textId="186A6527" w:rsidR="00252A51" w:rsidRPr="003F6A60" w:rsidRDefault="00252A51" w:rsidP="00F86A83">
      <w:pPr>
        <w:pStyle w:val="Titre"/>
        <w:spacing w:before="240" w:after="240"/>
        <w:jc w:val="center"/>
        <w:rPr>
          <w:rFonts w:ascii="Garamond" w:hAnsi="Garamond"/>
          <w:b/>
          <w:smallCaps/>
          <w:color w:val="003294"/>
          <w:sz w:val="36"/>
          <w:szCs w:val="36"/>
          <w:lang w:val="en-US"/>
        </w:rPr>
      </w:pPr>
      <w:r w:rsidRPr="003F6A60">
        <w:rPr>
          <w:rFonts w:ascii="Garamond" w:hAnsi="Garamond"/>
          <w:b/>
          <w:smallCaps/>
          <w:color w:val="003294"/>
          <w:sz w:val="36"/>
          <w:szCs w:val="36"/>
          <w:lang w:val="en-US"/>
        </w:rPr>
        <w:t>Accountability or participation?</w:t>
      </w:r>
    </w:p>
    <w:p w14:paraId="4C9311F0" w14:textId="5130F7AB" w:rsidR="00A13AC8" w:rsidRPr="003F6A60" w:rsidRDefault="00252A51" w:rsidP="00F86A83">
      <w:pPr>
        <w:pStyle w:val="Titre"/>
        <w:spacing w:before="240" w:after="240"/>
        <w:jc w:val="center"/>
        <w:rPr>
          <w:rFonts w:ascii="Garamond" w:hAnsi="Garamond"/>
          <w:b/>
          <w:smallCaps/>
          <w:color w:val="003294"/>
          <w:sz w:val="36"/>
          <w:szCs w:val="36"/>
          <w:lang w:val="en-US"/>
        </w:rPr>
      </w:pPr>
      <w:r w:rsidRPr="003F6A60">
        <w:rPr>
          <w:rFonts w:ascii="Garamond" w:hAnsi="Garamond"/>
          <w:b/>
          <w:smallCaps/>
          <w:color w:val="003294"/>
          <w:sz w:val="36"/>
          <w:szCs w:val="36"/>
          <w:lang w:val="en-US"/>
        </w:rPr>
        <w:t>Disentangling the rationales for FOI access to deliberative material</w:t>
      </w:r>
    </w:p>
    <w:p w14:paraId="1C314B97" w14:textId="17C10F47" w:rsidR="00C43FBC" w:rsidRPr="00212218" w:rsidRDefault="00A13AC8" w:rsidP="00690A68">
      <w:pPr>
        <w:pBdr>
          <w:bottom w:val="single" w:sz="6" w:space="1" w:color="auto"/>
        </w:pBdr>
        <w:rPr>
          <w:rFonts w:ascii="Garamond" w:hAnsi="Garamond" w:cs="Times New Roman"/>
          <w:lang w:val="en-GB"/>
        </w:rPr>
      </w:pPr>
      <w:r w:rsidRPr="00212218">
        <w:rPr>
          <w:rFonts w:ascii="Garamond" w:hAnsi="Garamond" w:cs="Times New Roman"/>
          <w:lang w:val="en-GB"/>
        </w:rPr>
        <w:t xml:space="preserve">by </w:t>
      </w:r>
      <w:r w:rsidR="00252A51" w:rsidRPr="00212218">
        <w:rPr>
          <w:rFonts w:ascii="Garamond" w:hAnsi="Garamond" w:cs="Times New Roman"/>
          <w:b/>
          <w:lang w:val="en-GB"/>
        </w:rPr>
        <w:t xml:space="preserve">Judith </w:t>
      </w:r>
      <w:r w:rsidR="00212218" w:rsidRPr="00212218">
        <w:rPr>
          <w:rFonts w:ascii="Garamond" w:hAnsi="Garamond" w:cs="Times New Roman"/>
          <w:b/>
          <w:lang w:val="en-GB"/>
        </w:rPr>
        <w:t>BANNISTER</w:t>
      </w:r>
      <w:r w:rsidR="00252A51" w:rsidRPr="00212218">
        <w:rPr>
          <w:rFonts w:ascii="Garamond" w:hAnsi="Garamond" w:cs="Times New Roman"/>
          <w:lang w:val="en-GB"/>
        </w:rPr>
        <w:t>, Senior Lecturer, University of Adelaide Law School, Australia</w:t>
      </w:r>
      <w:r w:rsidR="005A2B83" w:rsidRPr="00212218">
        <w:rPr>
          <w:rFonts w:ascii="Garamond" w:hAnsi="Garamond" w:cs="Times New Roman"/>
          <w:lang w:val="en-GB"/>
        </w:rPr>
        <w:t>.</w:t>
      </w:r>
    </w:p>
    <w:p w14:paraId="6473E338" w14:textId="77777777" w:rsidR="00690A68" w:rsidRPr="003F6A60" w:rsidRDefault="00690A68" w:rsidP="00212218">
      <w:pPr>
        <w:pStyle w:val="Titre1"/>
        <w:rPr>
          <w:lang w:val="en-US"/>
        </w:rPr>
      </w:pPr>
    </w:p>
    <w:p w14:paraId="18EEFBD9" w14:textId="64AB0D6C" w:rsidR="00252A51" w:rsidRPr="00212218" w:rsidRDefault="00252A51" w:rsidP="00212218">
      <w:pPr>
        <w:pStyle w:val="Titre1"/>
      </w:pPr>
      <w:r w:rsidRPr="00212218">
        <w:t>Introduction</w:t>
      </w:r>
    </w:p>
    <w:p w14:paraId="4D47BD00" w14:textId="77B7D41F" w:rsidR="00212218" w:rsidRPr="00975542" w:rsidRDefault="00212218" w:rsidP="00975542">
      <w:pPr>
        <w:keepNext/>
        <w:framePr w:dropCap="drop" w:lines="3" w:wrap="around" w:vAnchor="text" w:hAnchor="text"/>
        <w:spacing w:line="810" w:lineRule="exact"/>
        <w:textAlignment w:val="baseline"/>
        <w:rPr>
          <w:rFonts w:ascii="Garamond" w:hAnsi="Garamond" w:cs="Times New Roman"/>
          <w:position w:val="-9"/>
          <w:sz w:val="108"/>
        </w:rPr>
      </w:pPr>
      <w:r w:rsidRPr="00975542">
        <w:rPr>
          <w:rFonts w:ascii="Garamond" w:hAnsi="Garamond" w:cs="Times New Roman"/>
          <w:position w:val="-9"/>
          <w:sz w:val="108"/>
        </w:rPr>
        <w:t>T</w:t>
      </w:r>
    </w:p>
    <w:p w14:paraId="39C9A14C" w14:textId="5D9F66C1" w:rsidR="00252A51" w:rsidRPr="003F6A60" w:rsidRDefault="00252A51" w:rsidP="00212218">
      <w:pPr>
        <w:spacing w:after="240"/>
        <w:rPr>
          <w:rFonts w:ascii="Garamond" w:hAnsi="Garamond" w:cs="Times New Roman"/>
          <w:lang w:val="en-US"/>
        </w:rPr>
      </w:pPr>
      <w:r w:rsidRPr="007C456C">
        <w:rPr>
          <w:rFonts w:ascii="Garamond" w:hAnsi="Garamond" w:cs="Times New Roman"/>
          <w:lang w:val="en-US"/>
        </w:rPr>
        <w:t>his conference described our age as “the open government era”. The optimism apparent in this title is in many ways entirely justifiable. While open government has evolved slowly,</w:t>
      </w:r>
      <w:r w:rsidRPr="00212218">
        <w:rPr>
          <w:rStyle w:val="Appelnotedebasdep"/>
          <w:rFonts w:ascii="Garamond" w:hAnsi="Garamond" w:cs="Times New Roman"/>
        </w:rPr>
        <w:footnoteReference w:id="1"/>
      </w:r>
      <w:r w:rsidRPr="007C456C">
        <w:rPr>
          <w:rFonts w:ascii="Garamond" w:hAnsi="Garamond" w:cs="Times New Roman"/>
          <w:lang w:val="en-US"/>
        </w:rPr>
        <w:t xml:space="preserve"> and faced many challenges,</w:t>
      </w:r>
      <w:r w:rsidRPr="00212218">
        <w:rPr>
          <w:rStyle w:val="Appelnotedebasdep"/>
          <w:rFonts w:ascii="Garamond" w:hAnsi="Garamond" w:cs="Times New Roman"/>
        </w:rPr>
        <w:footnoteReference w:id="2"/>
      </w:r>
      <w:r w:rsidRPr="007C456C">
        <w:rPr>
          <w:rFonts w:ascii="Garamond" w:hAnsi="Garamond" w:cs="Times New Roman"/>
          <w:lang w:val="en-US"/>
        </w:rPr>
        <w:t xml:space="preserve"> half a century of statutory rights to access government documents has converged with information technology revolution to produce some remarkable results. When the United States </w:t>
      </w:r>
      <w:r w:rsidRPr="007C456C">
        <w:rPr>
          <w:rFonts w:ascii="Garamond" w:hAnsi="Garamond" w:cs="Times New Roman"/>
          <w:i/>
          <w:lang w:val="en-US"/>
        </w:rPr>
        <w:t xml:space="preserve">Freedom of Information Act </w:t>
      </w:r>
      <w:r w:rsidRPr="007C456C">
        <w:rPr>
          <w:rFonts w:ascii="Garamond" w:hAnsi="Garamond" w:cs="Times New Roman"/>
          <w:lang w:val="en-US"/>
        </w:rPr>
        <w:t>was passed in 1966, the idea of free online datasets,</w:t>
      </w:r>
      <w:r w:rsidRPr="00212218">
        <w:rPr>
          <w:rStyle w:val="Appelnotedebasdep"/>
          <w:rFonts w:ascii="Garamond" w:hAnsi="Garamond" w:cs="Times New Roman"/>
        </w:rPr>
        <w:footnoteReference w:id="3"/>
      </w:r>
      <w:r w:rsidRPr="007C456C">
        <w:rPr>
          <w:rFonts w:ascii="Garamond" w:hAnsi="Garamond" w:cs="Times New Roman"/>
          <w:lang w:val="en-US"/>
        </w:rPr>
        <w:t xml:space="preserve"> open to anyone anywhere in the world with access to a hand</w:t>
      </w:r>
      <w:r w:rsidR="009A13B4">
        <w:rPr>
          <w:rFonts w:ascii="Garamond" w:hAnsi="Garamond" w:cs="Times New Roman"/>
          <w:lang w:val="en-US"/>
        </w:rPr>
        <w:t>-</w:t>
      </w:r>
      <w:r w:rsidRPr="007C456C">
        <w:rPr>
          <w:rFonts w:ascii="Garamond" w:hAnsi="Garamond" w:cs="Times New Roman"/>
          <w:lang w:val="en-US"/>
        </w:rPr>
        <w:t>held device, would have been unimaginable.</w:t>
      </w:r>
      <w:r w:rsidRPr="00212218">
        <w:rPr>
          <w:rStyle w:val="Appelnotedebasdep"/>
          <w:rFonts w:ascii="Garamond" w:hAnsi="Garamond" w:cs="Times New Roman"/>
        </w:rPr>
        <w:footnoteReference w:id="4"/>
      </w:r>
      <w:r w:rsidRPr="007C456C">
        <w:rPr>
          <w:rFonts w:ascii="Garamond" w:hAnsi="Garamond" w:cs="Times New Roman"/>
          <w:lang w:val="en-US"/>
        </w:rPr>
        <w:t xml:space="preserve"> </w:t>
      </w:r>
      <w:r w:rsidRPr="003F6A60">
        <w:rPr>
          <w:rFonts w:ascii="Garamond" w:hAnsi="Garamond" w:cs="Times New Roman"/>
          <w:lang w:val="en-US"/>
        </w:rPr>
        <w:t>When the Australian Federal freedom of information legislation was passed in 1982, leaks of government information like those now being disclosed over the Internet through Wikileaks</w:t>
      </w:r>
      <w:r w:rsidRPr="00212218">
        <w:rPr>
          <w:rStyle w:val="Appelnotedebasdep"/>
          <w:rFonts w:ascii="Garamond" w:hAnsi="Garamond" w:cs="Times New Roman"/>
        </w:rPr>
        <w:footnoteReference w:id="5"/>
      </w:r>
      <w:r w:rsidRPr="003F6A60">
        <w:rPr>
          <w:rFonts w:ascii="Garamond" w:hAnsi="Garamond" w:cs="Times New Roman"/>
          <w:lang w:val="en-US"/>
        </w:rPr>
        <w:t xml:space="preserve"> were being printed in newspaper</w:t>
      </w:r>
      <w:r w:rsidR="009A13B4">
        <w:rPr>
          <w:rFonts w:ascii="Garamond" w:hAnsi="Garamond" w:cs="Times New Roman"/>
          <w:lang w:val="en-US"/>
        </w:rPr>
        <w:t xml:space="preserve">s </w:t>
      </w:r>
      <w:r w:rsidRPr="003F6A60">
        <w:rPr>
          <w:rFonts w:ascii="Garamond" w:hAnsi="Garamond" w:cs="Times New Roman"/>
          <w:lang w:val="en-US"/>
        </w:rPr>
        <w:t>and monographs.</w:t>
      </w:r>
      <w:r w:rsidRPr="00212218">
        <w:rPr>
          <w:rStyle w:val="Appelnotedebasdep"/>
          <w:rFonts w:ascii="Garamond" w:hAnsi="Garamond" w:cs="Times New Roman"/>
        </w:rPr>
        <w:footnoteReference w:id="6"/>
      </w:r>
      <w:r w:rsidRPr="003F6A60">
        <w:rPr>
          <w:rFonts w:ascii="Garamond" w:hAnsi="Garamond" w:cs="Times New Roman"/>
          <w:lang w:val="en-US"/>
        </w:rPr>
        <w:t xml:space="preserve"> The Hon.</w:t>
      </w:r>
      <w:r w:rsidR="00410194">
        <w:rPr>
          <w:rFonts w:ascii="Garamond" w:hAnsi="Garamond" w:cs="Times New Roman"/>
          <w:lang w:val="en-US"/>
        </w:rPr>
        <w:t> </w:t>
      </w:r>
      <w:r w:rsidRPr="003F6A60">
        <w:rPr>
          <w:rFonts w:ascii="Garamond" w:hAnsi="Garamond" w:cs="Times New Roman"/>
          <w:lang w:val="en-US"/>
        </w:rPr>
        <w:t xml:space="preserve">Michael Kirby, former Justice of the Australian High Court, once described the introduction of freedom of information (FOI) as a radical reform, given the long history of </w:t>
      </w:r>
      <w:r w:rsidRPr="003F6A60">
        <w:rPr>
          <w:rFonts w:ascii="Garamond" w:hAnsi="Garamond" w:cs="Times New Roman"/>
          <w:lang w:val="en-US"/>
        </w:rPr>
        <w:lastRenderedPageBreak/>
        <w:t xml:space="preserve">official secrecy, and “the attitudinal shift that FOI legislation demanded of </w:t>
      </w:r>
      <w:r w:rsidR="009A13B4">
        <w:rPr>
          <w:rFonts w:ascii="Garamond" w:hAnsi="Garamond" w:cs="Times New Roman"/>
          <w:lang w:val="en-US"/>
        </w:rPr>
        <w:t>m</w:t>
      </w:r>
      <w:r w:rsidRPr="003F6A60">
        <w:rPr>
          <w:rFonts w:ascii="Garamond" w:hAnsi="Garamond" w:cs="Times New Roman"/>
          <w:lang w:val="en-US"/>
        </w:rPr>
        <w:t>inisters, departments, agencies and the public service [as] nothing short of revolutionary”.</w:t>
      </w:r>
      <w:r w:rsidRPr="00212218">
        <w:rPr>
          <w:rStyle w:val="Appelnotedebasdep"/>
          <w:rFonts w:ascii="Garamond" w:hAnsi="Garamond" w:cs="Times New Roman"/>
        </w:rPr>
        <w:footnoteReference w:id="7"/>
      </w:r>
      <w:r w:rsidRPr="003F6A60">
        <w:rPr>
          <w:rFonts w:ascii="Garamond" w:hAnsi="Garamond" w:cs="Times New Roman"/>
          <w:lang w:val="en-US"/>
        </w:rPr>
        <w:t xml:space="preserve"> Governments now talk routinely about transparency and open government as mainstays of democracy,</w:t>
      </w:r>
      <w:r w:rsidRPr="00212218">
        <w:rPr>
          <w:rStyle w:val="Appelnotedebasdep"/>
          <w:rFonts w:ascii="Garamond" w:hAnsi="Garamond" w:cs="Times New Roman"/>
        </w:rPr>
        <w:footnoteReference w:id="8"/>
      </w:r>
      <w:r w:rsidRPr="003F6A60">
        <w:rPr>
          <w:rFonts w:ascii="Garamond" w:hAnsi="Garamond" w:cs="Times New Roman"/>
          <w:lang w:val="en-US"/>
        </w:rPr>
        <w:t xml:space="preserve"> and government information is recognised as a national resource.</w:t>
      </w:r>
      <w:r w:rsidRPr="00212218">
        <w:rPr>
          <w:rStyle w:val="Appelnotedebasdep"/>
          <w:rFonts w:ascii="Garamond" w:hAnsi="Garamond" w:cs="Times New Roman"/>
        </w:rPr>
        <w:footnoteReference w:id="9"/>
      </w:r>
      <w:r w:rsidRPr="003F6A60">
        <w:rPr>
          <w:rFonts w:ascii="Garamond" w:hAnsi="Garamond" w:cs="Times New Roman"/>
          <w:lang w:val="en-US"/>
        </w:rPr>
        <w:t xml:space="preserve"> However, there are ongoing tensions about how open government is to be administered that remain unresolved. </w:t>
      </w:r>
      <w:r w:rsidRPr="007C456C">
        <w:rPr>
          <w:rFonts w:ascii="Garamond" w:hAnsi="Garamond" w:cs="Times New Roman"/>
          <w:lang w:val="en-US"/>
        </w:rPr>
        <w:t>Some tensions concern competing public interests that will be with us forever: government accountability versus national security, and openness versus the protection of private interests. Other tensions can be traced to fundamental differences in the way that open government is understood. How much disclosure was really intended when the FOI regimes were introduced? Differences in expectations often remain unstated, indeed unrecognised, when terms such as “open government” and “transparency” are invoked with reverence</w:t>
      </w:r>
      <w:r w:rsidRPr="00212218">
        <w:rPr>
          <w:rStyle w:val="Appelnotedebasdep"/>
          <w:rFonts w:ascii="Garamond" w:hAnsi="Garamond" w:cs="Times New Roman"/>
        </w:rPr>
        <w:footnoteReference w:id="10"/>
      </w:r>
      <w:r w:rsidRPr="007C456C">
        <w:rPr>
          <w:rFonts w:ascii="Garamond" w:hAnsi="Garamond" w:cs="Times New Roman"/>
          <w:lang w:val="en-US"/>
        </w:rPr>
        <w:t xml:space="preserve"> as democratic tenets, without any clear analysis of what openness is intended to achieve. This paper will analyse one specific source of ongoing tension for FOI: the extent to which the public ought to be allowed access to pre-decisional deliberative information, and the timing for disclosure of such material. </w:t>
      </w:r>
      <w:r w:rsidRPr="003F6A60">
        <w:rPr>
          <w:rFonts w:ascii="Garamond" w:hAnsi="Garamond" w:cs="Times New Roman"/>
          <w:lang w:val="en-US"/>
        </w:rPr>
        <w:t xml:space="preserve">It will be argued that </w:t>
      </w:r>
      <w:r w:rsidRPr="00212218">
        <w:rPr>
          <w:rFonts w:ascii="Garamond" w:hAnsi="Garamond" w:cs="Times New Roman"/>
          <w:lang w:val="en-US"/>
        </w:rPr>
        <w:t>public participation in the processes of government at the level of policy formulation and decision-making is the most elusive of the purposes claimed for FOI. Promises of participatory democracy can raise expectations about full disclosure of the decision-making process; whilst government officials believe that their “thinking spaces”</w:t>
      </w:r>
      <w:r w:rsidRPr="00212218">
        <w:rPr>
          <w:rStyle w:val="Appelnotedebasdep"/>
          <w:rFonts w:ascii="Garamond" w:hAnsi="Garamond" w:cs="Times New Roman"/>
        </w:rPr>
        <w:footnoteReference w:id="11"/>
      </w:r>
      <w:r w:rsidRPr="00212218">
        <w:rPr>
          <w:rFonts w:ascii="Garamond" w:hAnsi="Garamond" w:cs="Times New Roman"/>
          <w:lang w:val="en-US"/>
        </w:rPr>
        <w:t xml:space="preserve"> are entitled to some protection from the public gaze. </w:t>
      </w:r>
      <w:r w:rsidR="00975542" w:rsidRPr="003F6A60">
        <w:rPr>
          <w:rFonts w:ascii="Garamond" w:hAnsi="Garamond" w:cs="Times New Roman"/>
          <w:lang w:val="en-US"/>
        </w:rPr>
        <w:br/>
      </w:r>
      <w:r w:rsidRPr="003F6A60">
        <w:rPr>
          <w:rFonts w:ascii="Garamond" w:hAnsi="Garamond" w:cs="Times New Roman"/>
          <w:lang w:val="en-US"/>
        </w:rPr>
        <w:t>The paper focuses upon the FOI experience in Australia, but that focus requires some understanding of its origins in the United States FOIA. When FOI was originally proposed in Australia it was to introduce a scheme “along the lines of the United States legislation”,</w:t>
      </w:r>
      <w:r w:rsidRPr="00212218">
        <w:rPr>
          <w:rStyle w:val="Appelnotedebasdep"/>
          <w:rFonts w:ascii="Garamond" w:hAnsi="Garamond" w:cs="Times New Roman"/>
        </w:rPr>
        <w:footnoteReference w:id="12"/>
      </w:r>
      <w:r w:rsidRPr="003F6A60">
        <w:rPr>
          <w:rFonts w:ascii="Garamond" w:hAnsi="Garamond" w:cs="Times New Roman"/>
          <w:lang w:val="en-US"/>
        </w:rPr>
        <w:t xml:space="preserve"> “subject to such modifications as would be required to adapt the American system to the Australian constitutional and </w:t>
      </w:r>
      <w:r w:rsidRPr="003F6A60">
        <w:rPr>
          <w:rFonts w:ascii="Garamond" w:hAnsi="Garamond" w:cs="Times New Roman"/>
          <w:lang w:val="en-US"/>
        </w:rPr>
        <w:lastRenderedPageBreak/>
        <w:t>administrative structures”.</w:t>
      </w:r>
      <w:r w:rsidRPr="00212218">
        <w:rPr>
          <w:rStyle w:val="Appelnotedebasdep"/>
          <w:rFonts w:ascii="Garamond" w:hAnsi="Garamond" w:cs="Times New Roman"/>
        </w:rPr>
        <w:footnoteReference w:id="13"/>
      </w:r>
      <w:r w:rsidRPr="003F6A60">
        <w:rPr>
          <w:rFonts w:ascii="Garamond" w:hAnsi="Garamond" w:cs="Times New Roman"/>
          <w:lang w:val="en-US"/>
        </w:rPr>
        <w:t xml:space="preserve"> The “purpose” was to implement a </w:t>
      </w:r>
      <w:r w:rsidR="009A13B4">
        <w:rPr>
          <w:rFonts w:ascii="Garamond" w:hAnsi="Garamond" w:cs="Times New Roman"/>
          <w:lang w:val="en-US"/>
        </w:rPr>
        <w:t>U.S.</w:t>
      </w:r>
      <w:r w:rsidR="00410194">
        <w:rPr>
          <w:rFonts w:ascii="Garamond" w:hAnsi="Garamond" w:cs="Times New Roman"/>
          <w:lang w:val="en-US"/>
        </w:rPr>
        <w:t>-</w:t>
      </w:r>
      <w:r w:rsidRPr="003F6A60">
        <w:rPr>
          <w:rFonts w:ascii="Garamond" w:hAnsi="Garamond" w:cs="Times New Roman"/>
          <w:lang w:val="en-US"/>
        </w:rPr>
        <w:t>style FOIA system. The underlying rationales must, therefore, be sourced in the early American material informing the 1966 United States FOIA along with the Australian implementation.</w:t>
      </w:r>
      <w:r w:rsidRPr="00212218">
        <w:rPr>
          <w:rStyle w:val="Appelnotedebasdep"/>
          <w:rFonts w:ascii="Garamond" w:hAnsi="Garamond" w:cs="Times New Roman"/>
        </w:rPr>
        <w:footnoteReference w:id="14"/>
      </w:r>
    </w:p>
    <w:p w14:paraId="79D71A59" w14:textId="4D9D1482" w:rsidR="00252A51" w:rsidRPr="00410194" w:rsidRDefault="00212218" w:rsidP="00212218">
      <w:pPr>
        <w:pStyle w:val="Titre1"/>
        <w:rPr>
          <w:lang w:val="en-US"/>
        </w:rPr>
      </w:pPr>
      <w:bookmarkStart w:id="0" w:name="_Toc287266203"/>
      <w:bookmarkStart w:id="1" w:name="_Toc289002235"/>
      <w:r w:rsidRPr="00410194">
        <w:rPr>
          <w:rFonts w:cs="Times New Roman"/>
          <w:lang w:val="en-US"/>
        </w:rPr>
        <w:t>§</w:t>
      </w:r>
      <w:r w:rsidR="00410194" w:rsidRPr="00410194">
        <w:rPr>
          <w:rFonts w:cs="Times New Roman"/>
          <w:lang w:val="en-US"/>
        </w:rPr>
        <w:t> </w:t>
      </w:r>
      <w:r w:rsidRPr="00410194">
        <w:rPr>
          <w:rFonts w:cs="Times New Roman"/>
          <w:lang w:val="en-US"/>
        </w:rPr>
        <w:t xml:space="preserve">1 – </w:t>
      </w:r>
      <w:r w:rsidR="00252A51" w:rsidRPr="00410194">
        <w:rPr>
          <w:lang w:val="en-US"/>
        </w:rPr>
        <w:t>Freedom of information – the rationales</w:t>
      </w:r>
      <w:bookmarkEnd w:id="0"/>
      <w:bookmarkEnd w:id="1"/>
    </w:p>
    <w:p w14:paraId="377E24B2" w14:textId="61F11E7A" w:rsidR="00252A51" w:rsidRPr="00975542" w:rsidRDefault="00252A51" w:rsidP="00975542">
      <w:pPr>
        <w:widowControl w:val="0"/>
        <w:autoSpaceDE w:val="0"/>
        <w:autoSpaceDN w:val="0"/>
        <w:adjustRightInd w:val="0"/>
        <w:spacing w:after="240"/>
        <w:rPr>
          <w:rFonts w:ascii="Garamond" w:hAnsi="Garamond" w:cs="Times New Roman"/>
          <w:color w:val="1A1718"/>
          <w:lang w:val="en-US"/>
        </w:rPr>
      </w:pPr>
      <w:r w:rsidRPr="00212218">
        <w:rPr>
          <w:rFonts w:ascii="Garamond" w:hAnsi="Garamond" w:cs="Times New Roman"/>
          <w:lang w:val="en-US"/>
        </w:rPr>
        <w:t xml:space="preserve">“Open government” and the “right to know” would appear to be unassailable concepts, and they are often expressed in that way. The “right to know” is often characterised as an </w:t>
      </w:r>
      <w:r w:rsidRPr="003F6A60">
        <w:rPr>
          <w:rFonts w:ascii="Garamond" w:hAnsi="Garamond" w:cs="Times New Roman"/>
          <w:lang w:val="en-US"/>
        </w:rPr>
        <w:t>inherent</w:t>
      </w:r>
      <w:r w:rsidRPr="00212218">
        <w:rPr>
          <w:rStyle w:val="Appelnotedebasdep"/>
          <w:rFonts w:ascii="Garamond" w:hAnsi="Garamond" w:cs="Times New Roman"/>
        </w:rPr>
        <w:footnoteReference w:id="15"/>
      </w:r>
      <w:r w:rsidRPr="00212218">
        <w:rPr>
          <w:rFonts w:ascii="Garamond" w:hAnsi="Garamond" w:cs="Times New Roman"/>
          <w:lang w:val="en-US"/>
        </w:rPr>
        <w:t xml:space="preserve"> or fundamental</w:t>
      </w:r>
      <w:r w:rsidRPr="00212218">
        <w:rPr>
          <w:rStyle w:val="Appelnotedebasdep"/>
          <w:rFonts w:ascii="Garamond" w:hAnsi="Garamond" w:cs="Times New Roman"/>
          <w:lang w:val="en-US"/>
        </w:rPr>
        <w:footnoteReference w:id="16"/>
      </w:r>
      <w:r w:rsidRPr="00212218">
        <w:rPr>
          <w:rFonts w:ascii="Garamond" w:hAnsi="Garamond" w:cs="Times New Roman"/>
          <w:lang w:val="en-US"/>
        </w:rPr>
        <w:t xml:space="preserve"> right, or cast in a supporting role to the right to free speech</w:t>
      </w:r>
      <w:r w:rsidRPr="00212218">
        <w:rPr>
          <w:rStyle w:val="Appelnotedebasdep"/>
          <w:rFonts w:ascii="Garamond" w:hAnsi="Garamond" w:cs="Times New Roman"/>
        </w:rPr>
        <w:footnoteReference w:id="17"/>
      </w:r>
      <w:r w:rsidRPr="00212218">
        <w:rPr>
          <w:rFonts w:ascii="Garamond" w:hAnsi="Garamond" w:cs="Times New Roman"/>
          <w:lang w:val="en-US"/>
        </w:rPr>
        <w:t>, both cornerstones of a democratic society.</w:t>
      </w:r>
      <w:r w:rsidRPr="00212218">
        <w:rPr>
          <w:rStyle w:val="Appelnotedebasdep"/>
          <w:rFonts w:ascii="Garamond" w:hAnsi="Garamond" w:cs="Times New Roman"/>
        </w:rPr>
        <w:footnoteReference w:id="18"/>
      </w:r>
      <w:r w:rsidRPr="00212218">
        <w:rPr>
          <w:rFonts w:ascii="Garamond" w:hAnsi="Garamond" w:cs="Times New Roman"/>
          <w:lang w:val="en-US"/>
        </w:rPr>
        <w:t xml:space="preserve"> However, if the balancing of competing rights is to be attempted, then a more precise expression of the underlying rationales for FOI is required.</w:t>
      </w:r>
      <w:r w:rsidRPr="00212218">
        <w:rPr>
          <w:rStyle w:val="Appelnotedebasdep"/>
          <w:rFonts w:ascii="Garamond" w:hAnsi="Garamond" w:cs="Times New Roman"/>
          <w:lang w:val="en-US"/>
        </w:rPr>
        <w:footnoteReference w:id="19"/>
      </w:r>
      <w:r w:rsidRPr="00212218">
        <w:rPr>
          <w:rFonts w:ascii="Garamond" w:hAnsi="Garamond" w:cs="Times New Roman"/>
          <w:lang w:val="en-US"/>
        </w:rPr>
        <w:t xml:space="preserve"> Declaring that citizens have a “right to know” what the government is doing</w:t>
      </w:r>
      <w:r w:rsidRPr="00212218">
        <w:rPr>
          <w:rStyle w:val="Appelnotedebasdep"/>
          <w:rFonts w:ascii="Garamond" w:hAnsi="Garamond" w:cs="Times New Roman"/>
          <w:lang w:val="en-US"/>
        </w:rPr>
        <w:footnoteReference w:id="20"/>
      </w:r>
      <w:r w:rsidRPr="00212218">
        <w:rPr>
          <w:rFonts w:ascii="Garamond" w:hAnsi="Garamond" w:cs="Times New Roman"/>
          <w:lang w:val="en-US"/>
        </w:rPr>
        <w:t>, whilst irrefutable when expressed in those general terms, tells us little about what exactly must be disclosed. There is a strong temptation to rely upon grand, but vague, objectives because it is difficult to challenge a “lofty goal”</w:t>
      </w:r>
      <w:r w:rsidRPr="00212218">
        <w:rPr>
          <w:rFonts w:ascii="Garamond" w:hAnsi="Garamond" w:cs="Times New Roman"/>
          <w:color w:val="1A1718"/>
          <w:lang w:val="en-US"/>
        </w:rPr>
        <w:t>.</w:t>
      </w:r>
      <w:r w:rsidRPr="00212218">
        <w:rPr>
          <w:rStyle w:val="Appelnotedebasdep"/>
          <w:rFonts w:ascii="Garamond" w:hAnsi="Garamond" w:cs="Times New Roman"/>
          <w:color w:val="1A1718"/>
          <w:lang w:val="en-US"/>
        </w:rPr>
        <w:footnoteReference w:id="21"/>
      </w:r>
      <w:r w:rsidRPr="00212218">
        <w:rPr>
          <w:rFonts w:ascii="Garamond" w:hAnsi="Garamond" w:cs="Times New Roman"/>
          <w:color w:val="1A1718"/>
          <w:lang w:val="en-US"/>
        </w:rPr>
        <w:t xml:space="preserve"> However, it is also quite difficult to put those goals into practice, and just as difficult to assess whether vague objectives have been achieved.</w:t>
      </w:r>
      <w:r w:rsidRPr="00212218">
        <w:rPr>
          <w:rStyle w:val="Appelnotedebasdep"/>
          <w:rFonts w:ascii="Garamond" w:hAnsi="Garamond" w:cs="Times New Roman"/>
          <w:color w:val="1A1718"/>
          <w:lang w:val="en-US"/>
        </w:rPr>
        <w:footnoteReference w:id="22"/>
      </w:r>
      <w:r w:rsidRPr="00212218">
        <w:rPr>
          <w:rFonts w:ascii="Garamond" w:hAnsi="Garamond" w:cs="Times New Roman"/>
          <w:color w:val="1A1718"/>
          <w:lang w:val="en-US"/>
        </w:rPr>
        <w:t xml:space="preserve"> The problem is that public expectations can be raised, only to be disappointed when the system is tested.</w:t>
      </w:r>
      <w:r w:rsidR="00975542">
        <w:rPr>
          <w:rFonts w:ascii="Garamond" w:hAnsi="Garamond" w:cs="Times New Roman"/>
          <w:color w:val="1A1718"/>
          <w:lang w:val="en-US"/>
        </w:rPr>
        <w:br/>
      </w:r>
      <w:r w:rsidRPr="00212218">
        <w:rPr>
          <w:rFonts w:ascii="Garamond" w:hAnsi="Garamond" w:cs="Times New Roman"/>
          <w:lang w:val="en-US"/>
        </w:rPr>
        <w:lastRenderedPageBreak/>
        <w:t>Recorded information is made available by executive governments under FOI either through proactive publication or upon request.</w:t>
      </w:r>
      <w:r w:rsidRPr="00212218">
        <w:rPr>
          <w:rStyle w:val="Appelnotedebasdep"/>
          <w:rFonts w:ascii="Garamond" w:hAnsi="Garamond" w:cs="Times New Roman"/>
        </w:rPr>
        <w:footnoteReference w:id="23"/>
      </w:r>
      <w:r w:rsidRPr="003F6A60">
        <w:rPr>
          <w:rFonts w:ascii="Garamond" w:hAnsi="Garamond" w:cs="Times New Roman"/>
          <w:lang w:val="en-US"/>
        </w:rPr>
        <w:t xml:space="preserve"> </w:t>
      </w:r>
      <w:r w:rsidRPr="00212218">
        <w:rPr>
          <w:rFonts w:ascii="Garamond" w:hAnsi="Garamond" w:cs="Times New Roman"/>
          <w:lang w:val="en-US"/>
        </w:rPr>
        <w:t>These different approaches to access reflect various purposes of FOI. Information that must be routinely published discloses how government works:</w:t>
      </w:r>
      <w:r w:rsidRPr="00212218">
        <w:rPr>
          <w:rStyle w:val="Appelnotedebasdep"/>
          <w:rFonts w:ascii="Garamond" w:hAnsi="Garamond" w:cs="Times New Roman"/>
          <w:lang w:val="en-US"/>
        </w:rPr>
        <w:footnoteReference w:id="24"/>
      </w:r>
      <w:r w:rsidRPr="00212218">
        <w:rPr>
          <w:rFonts w:ascii="Garamond" w:hAnsi="Garamond" w:cs="Times New Roman"/>
          <w:lang w:val="en-US"/>
        </w:rPr>
        <w:t xml:space="preserve"> the functions of agencies, how they are organised and may be contacted. Information must also be published about the substantive rules and policies of general application adopted by government agencies, along with the instructions given to staff on how those rules and policies are to be interpreted and administered. This ongoing disclosure informs the public about the workings of government and provides a level of accountability. Operating alongside this ongoing obligation to publish is the public’s right to access specific government records upon request.</w:t>
      </w:r>
      <w:r w:rsidRPr="00212218">
        <w:rPr>
          <w:rStyle w:val="Appelnotedebasdep"/>
          <w:rFonts w:ascii="Garamond" w:hAnsi="Garamond" w:cs="Times New Roman"/>
          <w:lang w:val="en-US"/>
        </w:rPr>
        <w:footnoteReference w:id="25"/>
      </w:r>
      <w:r w:rsidRPr="00212218">
        <w:rPr>
          <w:rFonts w:ascii="Garamond" w:hAnsi="Garamond" w:cs="Times New Roman"/>
          <w:lang w:val="en-US"/>
        </w:rPr>
        <w:t xml:space="preserve"> This right to request documents, subject to various exemptions,</w:t>
      </w:r>
      <w:r w:rsidRPr="00212218">
        <w:rPr>
          <w:rStyle w:val="Appelnotedebasdep"/>
          <w:rFonts w:ascii="Garamond" w:hAnsi="Garamond" w:cs="Times New Roman"/>
          <w:lang w:val="en-US"/>
        </w:rPr>
        <w:t xml:space="preserve"> </w:t>
      </w:r>
      <w:r w:rsidRPr="00212218">
        <w:rPr>
          <w:rStyle w:val="Appelnotedebasdep"/>
          <w:rFonts w:ascii="Garamond" w:hAnsi="Garamond" w:cs="Times New Roman"/>
          <w:lang w:val="en-US"/>
        </w:rPr>
        <w:footnoteReference w:id="26"/>
      </w:r>
      <w:r w:rsidRPr="00212218">
        <w:rPr>
          <w:rFonts w:ascii="Garamond" w:hAnsi="Garamond" w:cs="Times New Roman"/>
          <w:lang w:val="en-US"/>
        </w:rPr>
        <w:t xml:space="preserve"> enables individuals in Australia to ascertain whether their personal information is held by government, and also allows any person to investigate and hold government to account. The rationales for open access to government information can, therefore, be expressed both in terms of private rights and democratic processes. FOI is also claimed to play an important role in improving the quality of governmental decision-making. These three quite distinct rationales – individual rights, democratic principles, and improved procedures – are discussed below. The level of disclosure can vary depending upon which rationale is advocated.  </w:t>
      </w:r>
    </w:p>
    <w:p w14:paraId="4DC8C72A" w14:textId="0F171B8B" w:rsidR="00252A51" w:rsidRPr="003F6A60" w:rsidRDefault="00252A51" w:rsidP="00975542">
      <w:pPr>
        <w:pStyle w:val="Titre2"/>
        <w:ind w:left="927"/>
        <w:rPr>
          <w:lang w:val="en-US"/>
        </w:rPr>
      </w:pPr>
      <w:bookmarkStart w:id="2" w:name="_Toc287266204"/>
      <w:bookmarkStart w:id="3" w:name="_Toc289002236"/>
      <w:r w:rsidRPr="003F6A60">
        <w:rPr>
          <w:lang w:val="en-US"/>
        </w:rPr>
        <w:t>Protection of private interests when individuals engage with government</w:t>
      </w:r>
      <w:bookmarkEnd w:id="2"/>
      <w:bookmarkEnd w:id="3"/>
    </w:p>
    <w:p w14:paraId="19625564" w14:textId="1D61FB3A" w:rsidR="00252A51" w:rsidRPr="00212218" w:rsidRDefault="00252A51" w:rsidP="00212218">
      <w:pPr>
        <w:spacing w:after="240"/>
        <w:rPr>
          <w:rFonts w:ascii="Garamond" w:hAnsi="Garamond" w:cs="Times New Roman"/>
          <w:lang w:val="en-US"/>
        </w:rPr>
      </w:pPr>
      <w:r w:rsidRPr="00212218">
        <w:rPr>
          <w:rFonts w:ascii="Garamond" w:hAnsi="Garamond" w:cs="Times New Roman"/>
          <w:lang w:val="en-US"/>
        </w:rPr>
        <w:t>FOI laws enable Australians to discover what personal information governments hold about them and to challenge its accuracy. Information concerning how government actions, and information collection, impact upon individuals is probably the least controversial of the FOI disclosures.</w:t>
      </w:r>
      <w:r w:rsidRPr="00212218">
        <w:rPr>
          <w:rStyle w:val="Appelnotedebasdep"/>
          <w:rFonts w:ascii="Garamond" w:hAnsi="Garamond" w:cs="Times New Roman"/>
          <w:lang w:val="en-US"/>
        </w:rPr>
        <w:footnoteReference w:id="27"/>
      </w:r>
      <w:r w:rsidR="00975542">
        <w:rPr>
          <w:rFonts w:ascii="Garamond" w:hAnsi="Garamond" w:cs="Times New Roman"/>
          <w:lang w:val="en-US"/>
        </w:rPr>
        <w:tab/>
      </w:r>
      <w:r w:rsidR="00975542">
        <w:rPr>
          <w:rFonts w:ascii="Garamond" w:hAnsi="Garamond" w:cs="Times New Roman"/>
          <w:lang w:val="en-US"/>
        </w:rPr>
        <w:br/>
      </w:r>
      <w:r w:rsidRPr="00212218">
        <w:rPr>
          <w:rFonts w:ascii="Garamond" w:hAnsi="Garamond" w:cs="Times New Roman"/>
          <w:lang w:val="en-US"/>
        </w:rPr>
        <w:t xml:space="preserve">FOI also ensures that members of the public who are affected by government decisions have a right to know in advance what rules, </w:t>
      </w:r>
      <w:r w:rsidRPr="00212218">
        <w:rPr>
          <w:rFonts w:ascii="Garamond" w:hAnsi="Garamond" w:cs="Times New Roman"/>
          <w:lang w:val="en-US"/>
        </w:rPr>
        <w:lastRenderedPageBreak/>
        <w:t>policies and procedures may be applied to them.</w:t>
      </w:r>
      <w:r w:rsidRPr="00212218">
        <w:rPr>
          <w:rStyle w:val="Appelnotedebasdep"/>
          <w:rFonts w:ascii="Garamond" w:hAnsi="Garamond" w:cs="Times New Roman"/>
          <w:lang w:val="en-US"/>
        </w:rPr>
        <w:footnoteReference w:id="28"/>
      </w:r>
      <w:r w:rsidRPr="00212218">
        <w:rPr>
          <w:rFonts w:ascii="Garamond" w:hAnsi="Garamond" w:cs="Times New Roman"/>
          <w:lang w:val="en-US"/>
        </w:rPr>
        <w:t xml:space="preserve"> This principle, that the law must be accessible to the public, is an essential counterbalance to the maxim that ignorance of the law is no excuse.</w:t>
      </w:r>
      <w:r w:rsidRPr="00212218">
        <w:rPr>
          <w:rStyle w:val="Appelnotedebasdep"/>
          <w:rFonts w:ascii="Garamond" w:hAnsi="Garamond" w:cs="Times New Roman"/>
        </w:rPr>
        <w:footnoteReference w:id="29"/>
      </w:r>
      <w:r w:rsidRPr="00212218">
        <w:rPr>
          <w:rFonts w:ascii="Garamond" w:hAnsi="Garamond" w:cs="Times New Roman"/>
          <w:lang w:val="en-US"/>
        </w:rPr>
        <w:t xml:space="preserve"> Knowing what the rules are, and how they will be interpreted, enables individuals to understand the consequences of personal actions and to make decisions accordingly. </w:t>
      </w:r>
    </w:p>
    <w:p w14:paraId="6C728B08" w14:textId="285DEAB6" w:rsidR="00252A51" w:rsidRPr="00212218" w:rsidRDefault="00252A51" w:rsidP="00975542">
      <w:pPr>
        <w:pStyle w:val="Titre2"/>
        <w:ind w:left="927"/>
      </w:pPr>
      <w:bookmarkStart w:id="4" w:name="_Toc287266205"/>
      <w:bookmarkStart w:id="5" w:name="_Toc289002237"/>
      <w:r w:rsidRPr="00212218">
        <w:t>A cornerstone of democracy</w:t>
      </w:r>
      <w:bookmarkEnd w:id="4"/>
      <w:bookmarkEnd w:id="5"/>
    </w:p>
    <w:p w14:paraId="69F08C1B" w14:textId="5D64104B" w:rsidR="00252A51" w:rsidRPr="00212218" w:rsidRDefault="00252A51" w:rsidP="00212218">
      <w:pPr>
        <w:spacing w:after="240"/>
        <w:rPr>
          <w:rFonts w:ascii="Garamond" w:hAnsi="Garamond" w:cs="Times New Roman"/>
          <w:lang w:val="en-US"/>
        </w:rPr>
      </w:pPr>
      <w:r w:rsidRPr="00212218">
        <w:rPr>
          <w:rFonts w:ascii="Garamond" w:hAnsi="Garamond" w:cs="Times New Roman"/>
          <w:lang w:val="en-US"/>
        </w:rPr>
        <w:t>It is the extent of disclosure of information regarding the internal workings of government that is more controversial. It is often this transparency that is discussed in terms of democratic rationales.</w:t>
      </w:r>
    </w:p>
    <w:p w14:paraId="75347B1B" w14:textId="3A4DD0ED" w:rsidR="00252A51" w:rsidRPr="00212218" w:rsidRDefault="00252A51" w:rsidP="00975542">
      <w:pPr>
        <w:pStyle w:val="Titre3"/>
        <w:ind w:left="1491"/>
      </w:pPr>
      <w:bookmarkStart w:id="6" w:name="_Toc287266206"/>
      <w:bookmarkStart w:id="7" w:name="_Toc289002238"/>
      <w:r w:rsidRPr="00212218">
        <w:t>An informed electorate</w:t>
      </w:r>
      <w:bookmarkEnd w:id="6"/>
      <w:bookmarkEnd w:id="7"/>
      <w:r w:rsidRPr="00212218">
        <w:t xml:space="preserve"> </w:t>
      </w:r>
    </w:p>
    <w:p w14:paraId="7963BFE1" w14:textId="77777777" w:rsidR="00252A51" w:rsidRPr="00212218" w:rsidRDefault="00252A51" w:rsidP="00A37FC2">
      <w:pPr>
        <w:pStyle w:val="Normalweb"/>
        <w:spacing w:before="0" w:beforeAutospacing="0" w:after="0" w:afterAutospacing="0" w:line="240" w:lineRule="auto"/>
        <w:jc w:val="both"/>
        <w:rPr>
          <w:rFonts w:ascii="Garamond" w:eastAsiaTheme="minorHAnsi" w:hAnsi="Garamond"/>
          <w:sz w:val="24"/>
          <w:szCs w:val="24"/>
        </w:rPr>
      </w:pPr>
      <w:r w:rsidRPr="00212218">
        <w:rPr>
          <w:rFonts w:ascii="Garamond" w:hAnsi="Garamond"/>
          <w:sz w:val="24"/>
          <w:szCs w:val="24"/>
          <w:lang w:val="en-US"/>
        </w:rPr>
        <w:t>For representative democracy to operate effectively voters who exercise the franchise must be properly informed.</w:t>
      </w:r>
      <w:r w:rsidRPr="00212218">
        <w:rPr>
          <w:rStyle w:val="Appelnotedebasdep"/>
          <w:rFonts w:ascii="Garamond" w:hAnsi="Garamond"/>
          <w:sz w:val="24"/>
          <w:szCs w:val="24"/>
          <w:lang w:val="en-US"/>
        </w:rPr>
        <w:footnoteReference w:id="30"/>
      </w:r>
      <w:r w:rsidRPr="00212218">
        <w:rPr>
          <w:rFonts w:ascii="Garamond" w:hAnsi="Garamond"/>
          <w:sz w:val="24"/>
          <w:szCs w:val="24"/>
          <w:lang w:val="en-US"/>
        </w:rPr>
        <w:t xml:space="preserve"> Famously, in his </w:t>
      </w:r>
      <w:r w:rsidRPr="00212218">
        <w:rPr>
          <w:rFonts w:ascii="Garamond" w:eastAsiaTheme="minorHAnsi" w:hAnsi="Garamond"/>
          <w:sz w:val="24"/>
          <w:szCs w:val="24"/>
        </w:rPr>
        <w:t>bill-signing statement President Lyndon B. Johnson said of the United States FOIA:</w:t>
      </w:r>
    </w:p>
    <w:p w14:paraId="6EFA3AED" w14:textId="51C01A96" w:rsidR="00252A51" w:rsidRPr="00212218" w:rsidRDefault="00252A51" w:rsidP="00A37FC2">
      <w:pPr>
        <w:pStyle w:val="Normalweb"/>
        <w:spacing w:before="0" w:beforeAutospacing="0" w:after="0" w:afterAutospacing="0" w:line="240" w:lineRule="auto"/>
        <w:ind w:left="567"/>
        <w:jc w:val="both"/>
        <w:rPr>
          <w:rFonts w:ascii="Garamond" w:hAnsi="Garamond"/>
          <w:sz w:val="24"/>
          <w:szCs w:val="24"/>
        </w:rPr>
      </w:pPr>
      <w:r w:rsidRPr="00212218">
        <w:rPr>
          <w:rFonts w:ascii="Garamond" w:hAnsi="Garamond"/>
          <w:sz w:val="24"/>
          <w:szCs w:val="24"/>
        </w:rPr>
        <w:t>“This legislation springs from one of our most essential principles: a democracy works best when the people have all the information that the security of the Nation permits.”</w:t>
      </w:r>
      <w:r w:rsidRPr="00212218">
        <w:rPr>
          <w:rStyle w:val="Appelnotedebasdep"/>
          <w:rFonts w:ascii="Garamond" w:hAnsi="Garamond"/>
          <w:sz w:val="24"/>
          <w:szCs w:val="24"/>
        </w:rPr>
        <w:footnoteReference w:id="31"/>
      </w:r>
    </w:p>
    <w:p w14:paraId="5E0C2848" w14:textId="0B2F016B" w:rsidR="00252A51" w:rsidRPr="00212218" w:rsidRDefault="00252A51" w:rsidP="00212218">
      <w:pPr>
        <w:widowControl w:val="0"/>
        <w:autoSpaceDE w:val="0"/>
        <w:autoSpaceDN w:val="0"/>
        <w:adjustRightInd w:val="0"/>
        <w:spacing w:after="240"/>
        <w:rPr>
          <w:rFonts w:ascii="Garamond" w:hAnsi="Garamond" w:cs="Times New Roman"/>
          <w:lang w:val="en-US"/>
        </w:rPr>
      </w:pPr>
      <w:r w:rsidRPr="00212218">
        <w:rPr>
          <w:rFonts w:ascii="Garamond" w:hAnsi="Garamond" w:cs="Times New Roman"/>
          <w:lang w:val="en-US"/>
        </w:rPr>
        <w:t>In this context, FOI disclosure allows the electorate to assess the appropriateness and effectiveness of governments and make an informed choice about who should exercise that power in the future.</w:t>
      </w:r>
      <w:r w:rsidRPr="00212218">
        <w:rPr>
          <w:rStyle w:val="Appelnotedebasdep"/>
          <w:rFonts w:ascii="Garamond" w:hAnsi="Garamond" w:cs="Times New Roman"/>
          <w:lang w:val="en-US"/>
        </w:rPr>
        <w:t xml:space="preserve"> </w:t>
      </w:r>
      <w:r w:rsidRPr="00212218">
        <w:rPr>
          <w:rFonts w:ascii="Garamond" w:hAnsi="Garamond" w:cs="Times New Roman"/>
          <w:lang w:val="en-US"/>
        </w:rPr>
        <w:t>Sometimes, in the FOI debate, when references are made to “public participation” in the processes of government that participation is not intended to extend beyond this basic involvement of casting an informed vote.</w:t>
      </w:r>
    </w:p>
    <w:p w14:paraId="7336E8F3" w14:textId="0D3BBF3B" w:rsidR="00212218" w:rsidRPr="00212218" w:rsidRDefault="00252A51" w:rsidP="00975542">
      <w:pPr>
        <w:pStyle w:val="Titre3"/>
        <w:ind w:left="1491"/>
      </w:pPr>
      <w:bookmarkStart w:id="8" w:name="_Toc287266207"/>
      <w:bookmarkStart w:id="9" w:name="_Toc289002239"/>
      <w:r w:rsidRPr="00212218">
        <w:t>Accountability</w:t>
      </w:r>
      <w:bookmarkEnd w:id="8"/>
      <w:bookmarkEnd w:id="9"/>
    </w:p>
    <w:p w14:paraId="4857B00C" w14:textId="4823F002" w:rsidR="00252A51" w:rsidRPr="00212218" w:rsidRDefault="00252A51" w:rsidP="007D7373">
      <w:pPr>
        <w:rPr>
          <w:rFonts w:ascii="Garamond" w:hAnsi="Garamond" w:cs="Times New Roman"/>
          <w:lang w:val="en-US"/>
        </w:rPr>
      </w:pPr>
      <w:r w:rsidRPr="00212218">
        <w:rPr>
          <w:rFonts w:ascii="Garamond" w:hAnsi="Garamond" w:cs="Times New Roman"/>
          <w:lang w:val="en-US"/>
        </w:rPr>
        <w:t>While citizens are considering future electoral choices, governmental officials who exercise public power are held to account.</w:t>
      </w:r>
      <w:r w:rsidRPr="00212218">
        <w:rPr>
          <w:rStyle w:val="Appelnotedebasdep"/>
          <w:rFonts w:ascii="Garamond" w:hAnsi="Garamond" w:cs="Times New Roman"/>
          <w:lang w:val="en-US"/>
        </w:rPr>
        <w:footnoteReference w:id="32"/>
      </w:r>
      <w:r w:rsidRPr="00212218">
        <w:rPr>
          <w:rFonts w:ascii="Garamond" w:hAnsi="Garamond" w:cs="Times New Roman"/>
          <w:lang w:val="en-US"/>
        </w:rPr>
        <w:t xml:space="preserve"> Transparency enables the public to monitor the actions of public servants and to discourage, or expose, corruption and </w:t>
      </w:r>
      <w:r w:rsidRPr="00212218">
        <w:rPr>
          <w:rFonts w:ascii="Garamond" w:hAnsi="Garamond" w:cs="Times New Roman"/>
          <w:lang w:val="en-US"/>
        </w:rPr>
        <w:lastRenderedPageBreak/>
        <w:t xml:space="preserve">maladministration. When faced with full disclosure, public servants are more likely to act in the public interest, rather than in their self-interest. </w:t>
      </w:r>
    </w:p>
    <w:p w14:paraId="67099B37" w14:textId="2EE968F2" w:rsidR="00252A51" w:rsidRPr="009A13B4" w:rsidRDefault="00252A51" w:rsidP="00212218">
      <w:pPr>
        <w:widowControl w:val="0"/>
        <w:autoSpaceDE w:val="0"/>
        <w:autoSpaceDN w:val="0"/>
        <w:adjustRightInd w:val="0"/>
        <w:spacing w:after="240"/>
        <w:rPr>
          <w:rFonts w:ascii="Garamond" w:hAnsi="Garamond" w:cs="Times New Roman"/>
          <w:spacing w:val="-6"/>
          <w:lang w:val="en-US"/>
        </w:rPr>
      </w:pPr>
      <w:r w:rsidRPr="009A13B4">
        <w:rPr>
          <w:rFonts w:ascii="Garamond" w:hAnsi="Garamond" w:cs="Times New Roman"/>
          <w:spacing w:val="-6"/>
          <w:lang w:val="en-US"/>
        </w:rPr>
        <w:t>This “watchdog function” has been described as “perhaps the principal inspiration” for the United States FOIA.</w:t>
      </w:r>
      <w:r w:rsidRPr="009A13B4">
        <w:rPr>
          <w:rStyle w:val="Appelnotedebasdep"/>
          <w:rFonts w:ascii="Garamond" w:hAnsi="Garamond" w:cs="Times New Roman"/>
          <w:spacing w:val="-6"/>
          <w:lang w:val="en-US"/>
        </w:rPr>
        <w:footnoteReference w:id="33"/>
      </w:r>
      <w:r w:rsidRPr="009A13B4">
        <w:rPr>
          <w:rFonts w:ascii="Garamond" w:hAnsi="Garamond" w:cs="Times New Roman"/>
          <w:spacing w:val="-6"/>
          <w:lang w:val="en-US"/>
        </w:rPr>
        <w:t xml:space="preserve"> Transparency is always closely linked to accountability</w:t>
      </w:r>
      <w:r w:rsidRPr="009A13B4">
        <w:rPr>
          <w:rStyle w:val="Appelnotedebasdep"/>
          <w:rFonts w:ascii="Garamond" w:hAnsi="Garamond" w:cs="Times New Roman"/>
          <w:spacing w:val="-6"/>
          <w:lang w:val="en-US"/>
        </w:rPr>
        <w:footnoteReference w:id="34"/>
      </w:r>
      <w:r w:rsidRPr="009A13B4">
        <w:rPr>
          <w:rFonts w:ascii="Garamond" w:hAnsi="Garamond" w:cs="Times New Roman"/>
          <w:spacing w:val="-6"/>
          <w:lang w:val="en-US"/>
        </w:rPr>
        <w:t xml:space="preserve"> because information must be disclosed about actions taken, or decisions made, before those actions can be debated and judged.</w:t>
      </w:r>
      <w:r w:rsidRPr="009A13B4">
        <w:rPr>
          <w:rStyle w:val="Appelnotedebasdep"/>
          <w:rFonts w:ascii="Garamond" w:hAnsi="Garamond" w:cs="Times New Roman"/>
          <w:spacing w:val="-6"/>
          <w:lang w:val="en-US"/>
        </w:rPr>
        <w:t xml:space="preserve"> </w:t>
      </w:r>
      <w:r w:rsidRPr="009A13B4">
        <w:rPr>
          <w:rStyle w:val="Appelnotedebasdep"/>
          <w:rFonts w:ascii="Garamond" w:hAnsi="Garamond" w:cs="Times New Roman"/>
          <w:spacing w:val="-6"/>
          <w:lang w:val="en-US"/>
        </w:rPr>
        <w:footnoteReference w:id="35"/>
      </w:r>
      <w:r w:rsidRPr="009A13B4">
        <w:rPr>
          <w:rFonts w:ascii="Garamond" w:hAnsi="Garamond" w:cs="Times New Roman"/>
          <w:spacing w:val="-6"/>
          <w:lang w:val="en-US"/>
        </w:rPr>
        <w:t xml:space="preserve"> However, accountability through transparency can only go so far: sanctions for wrongdoing may also be required.</w:t>
      </w:r>
      <w:r w:rsidRPr="009A13B4">
        <w:rPr>
          <w:rStyle w:val="Appelnotedebasdep"/>
          <w:rFonts w:ascii="Garamond" w:hAnsi="Garamond" w:cs="Times New Roman"/>
          <w:spacing w:val="-6"/>
        </w:rPr>
        <w:footnoteReference w:id="36"/>
      </w:r>
    </w:p>
    <w:p w14:paraId="051ED0D9" w14:textId="2929C694" w:rsidR="00252A51" w:rsidRPr="00212218" w:rsidRDefault="00252A51" w:rsidP="00975542">
      <w:pPr>
        <w:pStyle w:val="Titre3"/>
        <w:ind w:left="1491"/>
        <w:rPr>
          <w:lang w:val="en-US"/>
        </w:rPr>
      </w:pPr>
      <w:bookmarkStart w:id="10" w:name="_Toc287266208"/>
      <w:bookmarkStart w:id="11" w:name="_Toc289002240"/>
      <w:r w:rsidRPr="00212218">
        <w:rPr>
          <w:lang w:val="en-US"/>
        </w:rPr>
        <w:t xml:space="preserve">Public </w:t>
      </w:r>
      <w:r w:rsidRPr="00212218">
        <w:t>confidence</w:t>
      </w:r>
      <w:r w:rsidRPr="00212218">
        <w:rPr>
          <w:lang w:val="en-US"/>
        </w:rPr>
        <w:t xml:space="preserve"> in government?</w:t>
      </w:r>
      <w:bookmarkEnd w:id="10"/>
      <w:bookmarkEnd w:id="11"/>
    </w:p>
    <w:p w14:paraId="0A3EC7A3" w14:textId="63A6C13E" w:rsidR="00252A51" w:rsidRPr="009A13B4" w:rsidRDefault="00252A51" w:rsidP="00212218">
      <w:pPr>
        <w:spacing w:after="240"/>
        <w:rPr>
          <w:rFonts w:ascii="Garamond" w:hAnsi="Garamond" w:cs="Times New Roman"/>
          <w:spacing w:val="-10"/>
          <w:lang w:val="en-US"/>
        </w:rPr>
      </w:pPr>
      <w:r w:rsidRPr="009A13B4">
        <w:rPr>
          <w:rFonts w:ascii="Garamond" w:hAnsi="Garamond" w:cs="Times New Roman"/>
          <w:spacing w:val="-10"/>
          <w:lang w:val="en-US"/>
        </w:rPr>
        <w:t>Another outcome arising from accountability through transparency is sometimes claimed to be the bolstering of public confidence in government.</w:t>
      </w:r>
      <w:r w:rsidRPr="009A13B4">
        <w:rPr>
          <w:rStyle w:val="Appelnotedebasdep"/>
          <w:rFonts w:ascii="Garamond" w:hAnsi="Garamond" w:cs="Times New Roman"/>
          <w:spacing w:val="-10"/>
          <w:lang w:val="en-US"/>
        </w:rPr>
        <w:footnoteReference w:id="37"/>
      </w:r>
      <w:r w:rsidR="009A13B4">
        <w:rPr>
          <w:rFonts w:ascii="Garamond" w:hAnsi="Garamond" w:cs="Times New Roman"/>
          <w:spacing w:val="-10"/>
          <w:lang w:val="en-US"/>
        </w:rPr>
        <w:t> </w:t>
      </w:r>
      <w:r w:rsidRPr="009A13B4">
        <w:rPr>
          <w:rFonts w:ascii="Garamond" w:hAnsi="Garamond" w:cs="Times New Roman"/>
          <w:spacing w:val="-10"/>
          <w:lang w:val="en-US"/>
        </w:rPr>
        <w:t>However,</w:t>
      </w:r>
      <w:r w:rsidR="009A13B4">
        <w:rPr>
          <w:rFonts w:ascii="Garamond" w:hAnsi="Garamond" w:cs="Times New Roman"/>
          <w:spacing w:val="-10"/>
          <w:lang w:val="en-US"/>
        </w:rPr>
        <w:t> </w:t>
      </w:r>
      <w:r w:rsidRPr="009A13B4">
        <w:rPr>
          <w:rFonts w:ascii="Garamond" w:hAnsi="Garamond" w:cs="Times New Roman"/>
          <w:spacing w:val="-10"/>
          <w:lang w:val="en-US"/>
        </w:rPr>
        <w:t>the</w:t>
      </w:r>
      <w:r w:rsidR="009A13B4">
        <w:rPr>
          <w:rFonts w:ascii="Garamond" w:hAnsi="Garamond" w:cs="Times New Roman"/>
          <w:spacing w:val="-10"/>
          <w:lang w:val="en-US"/>
        </w:rPr>
        <w:t xml:space="preserve"> </w:t>
      </w:r>
      <w:r w:rsidRPr="009A13B4">
        <w:rPr>
          <w:rFonts w:ascii="Garamond" w:hAnsi="Garamond" w:cs="Times New Roman"/>
          <w:spacing w:val="-10"/>
          <w:lang w:val="en-US"/>
        </w:rPr>
        <w:t>disclosure</w:t>
      </w:r>
      <w:r w:rsidR="009A13B4">
        <w:rPr>
          <w:rFonts w:ascii="Garamond" w:hAnsi="Garamond" w:cs="Times New Roman"/>
          <w:spacing w:val="-10"/>
          <w:lang w:val="en-US"/>
        </w:rPr>
        <w:t xml:space="preserve"> </w:t>
      </w:r>
      <w:r w:rsidRPr="009A13B4">
        <w:rPr>
          <w:rFonts w:ascii="Garamond" w:hAnsi="Garamond" w:cs="Times New Roman"/>
          <w:spacing w:val="-10"/>
          <w:lang w:val="en-US"/>
        </w:rPr>
        <w:t>of</w:t>
      </w:r>
      <w:r w:rsidR="009A13B4">
        <w:rPr>
          <w:rFonts w:ascii="Garamond" w:hAnsi="Garamond" w:cs="Times New Roman"/>
          <w:spacing w:val="-10"/>
          <w:lang w:val="en-US"/>
        </w:rPr>
        <w:t xml:space="preserve"> </w:t>
      </w:r>
      <w:r w:rsidRPr="009A13B4">
        <w:rPr>
          <w:rFonts w:ascii="Garamond" w:hAnsi="Garamond" w:cs="Times New Roman"/>
          <w:spacing w:val="-10"/>
          <w:lang w:val="en-US"/>
        </w:rPr>
        <w:t>corruption</w:t>
      </w:r>
      <w:r w:rsidR="009A13B4">
        <w:rPr>
          <w:rFonts w:ascii="Garamond" w:hAnsi="Garamond" w:cs="Times New Roman"/>
          <w:spacing w:val="-10"/>
          <w:lang w:val="en-US"/>
        </w:rPr>
        <w:t xml:space="preserve"> </w:t>
      </w:r>
      <w:r w:rsidR="009A13B4" w:rsidRPr="009A13B4">
        <w:rPr>
          <w:rFonts w:ascii="Garamond" w:hAnsi="Garamond" w:cs="Times New Roman"/>
          <w:spacing w:val="-10"/>
          <w:lang w:val="en-US"/>
        </w:rPr>
        <w:t>and</w:t>
      </w:r>
      <w:r w:rsidR="009A13B4">
        <w:rPr>
          <w:rFonts w:ascii="Garamond" w:hAnsi="Garamond" w:cs="Times New Roman"/>
          <w:spacing w:val="-10"/>
          <w:lang w:val="en-US"/>
        </w:rPr>
        <w:t xml:space="preserve"> </w:t>
      </w:r>
      <w:r w:rsidRPr="009A13B4">
        <w:rPr>
          <w:rFonts w:ascii="Garamond" w:hAnsi="Garamond" w:cs="Times New Roman"/>
          <w:spacing w:val="-10"/>
          <w:lang w:val="en-US"/>
        </w:rPr>
        <w:t>incompetence can have the opposite effect,</w:t>
      </w:r>
      <w:r w:rsidRPr="009A13B4">
        <w:rPr>
          <w:rStyle w:val="Appelnotedebasdep"/>
          <w:rFonts w:ascii="Garamond" w:hAnsi="Garamond" w:cs="Times New Roman"/>
          <w:spacing w:val="-10"/>
        </w:rPr>
        <w:footnoteReference w:id="38"/>
      </w:r>
      <w:r w:rsidRPr="009A13B4">
        <w:rPr>
          <w:rFonts w:ascii="Garamond" w:hAnsi="Garamond" w:cs="Times New Roman"/>
          <w:spacing w:val="-10"/>
          <w:lang w:val="en-US"/>
        </w:rPr>
        <w:t xml:space="preserve"> and information can be used as ammunition in unseemly political struggles.</w:t>
      </w:r>
      <w:r w:rsidRPr="009A13B4">
        <w:rPr>
          <w:rStyle w:val="Appelnotedebasdep"/>
          <w:rFonts w:ascii="Garamond" w:hAnsi="Garamond" w:cs="Times New Roman"/>
          <w:spacing w:val="-10"/>
          <w:lang w:val="en-US"/>
        </w:rPr>
        <w:footnoteReference w:id="39"/>
      </w:r>
      <w:r w:rsidRPr="009A13B4">
        <w:rPr>
          <w:rFonts w:ascii="Garamond" w:hAnsi="Garamond" w:cs="Times New Roman"/>
          <w:spacing w:val="-10"/>
          <w:lang w:val="en-US"/>
        </w:rPr>
        <w:t xml:space="preserve"> Nevertheless, over time, transparency should ensure greater confidence in the system overall, if not always in the individuals involved. </w:t>
      </w:r>
    </w:p>
    <w:p w14:paraId="081F5D8B" w14:textId="7B184030" w:rsidR="00252A51" w:rsidRPr="003F6A60" w:rsidRDefault="00252A51" w:rsidP="00975542">
      <w:pPr>
        <w:pStyle w:val="Titre2"/>
        <w:ind w:left="927"/>
        <w:rPr>
          <w:lang w:val="en-US"/>
        </w:rPr>
      </w:pPr>
      <w:bookmarkStart w:id="12" w:name="_Toc287266209"/>
      <w:bookmarkStart w:id="13" w:name="_Toc289002241"/>
      <w:r w:rsidRPr="003F6A60">
        <w:rPr>
          <w:lang w:val="en-US"/>
        </w:rPr>
        <w:t>A mechanism for improving the quality of policy and decision-making</w:t>
      </w:r>
      <w:bookmarkEnd w:id="12"/>
      <w:bookmarkEnd w:id="13"/>
    </w:p>
    <w:p w14:paraId="36545A0A" w14:textId="6C6376F5" w:rsidR="00252A51" w:rsidRPr="00212218" w:rsidRDefault="00252A51" w:rsidP="00212218">
      <w:pPr>
        <w:spacing w:after="240"/>
        <w:rPr>
          <w:rFonts w:ascii="Garamond" w:hAnsi="Garamond" w:cs="Times New Roman"/>
          <w:lang w:val="en-US"/>
        </w:rPr>
      </w:pPr>
      <w:r w:rsidRPr="00212218">
        <w:rPr>
          <w:rFonts w:ascii="Garamond" w:hAnsi="Garamond" w:cs="Times New Roman"/>
          <w:lang w:val="en-US"/>
        </w:rPr>
        <w:t xml:space="preserve">While improving bureaucratic decision-making processes might not seem like a grand purpose, or qualify as the underpinnings of democracy, it is also commonly </w:t>
      </w:r>
      <w:r w:rsidRPr="00212218">
        <w:rPr>
          <w:rFonts w:ascii="Garamond" w:hAnsi="Garamond" w:cs="Times New Roman"/>
          <w:lang w:val="en-AU"/>
        </w:rPr>
        <w:t>proffered as a rationale for freedom of information. Open access to</w:t>
      </w:r>
      <w:r w:rsidRPr="00212218">
        <w:rPr>
          <w:rFonts w:ascii="Garamond" w:hAnsi="Garamond" w:cs="Times New Roman"/>
          <w:lang w:val="en-US"/>
        </w:rPr>
        <w:t xml:space="preserve"> information about decision-making raises particular problems for FOI because at its heart is a question of power: who gets the final say and who gets to take part?</w:t>
      </w:r>
    </w:p>
    <w:p w14:paraId="6BA5990D" w14:textId="4EE471BD" w:rsidR="00252A51" w:rsidRPr="00212218" w:rsidRDefault="00252A51" w:rsidP="00975542">
      <w:pPr>
        <w:pStyle w:val="Titre3"/>
        <w:numPr>
          <w:ilvl w:val="0"/>
          <w:numId w:val="36"/>
        </w:numPr>
        <w:ind w:left="1494"/>
        <w:rPr>
          <w:lang w:val="en-US"/>
        </w:rPr>
      </w:pPr>
      <w:bookmarkStart w:id="14" w:name="_Toc287266210"/>
      <w:bookmarkStart w:id="15" w:name="_Toc289002242"/>
      <w:r w:rsidRPr="00212218">
        <w:rPr>
          <w:lang w:val="en-US"/>
        </w:rPr>
        <w:t>Through disclosure</w:t>
      </w:r>
      <w:bookmarkEnd w:id="14"/>
      <w:bookmarkEnd w:id="15"/>
    </w:p>
    <w:p w14:paraId="4AED8753" w14:textId="2CEC306F" w:rsidR="00252A51" w:rsidRPr="00212218" w:rsidRDefault="00252A51" w:rsidP="00212218">
      <w:pPr>
        <w:widowControl w:val="0"/>
        <w:autoSpaceDE w:val="0"/>
        <w:autoSpaceDN w:val="0"/>
        <w:adjustRightInd w:val="0"/>
        <w:spacing w:after="240"/>
        <w:rPr>
          <w:rFonts w:ascii="Garamond" w:hAnsi="Garamond" w:cs="Times New Roman"/>
          <w:lang w:val="en-US"/>
        </w:rPr>
      </w:pPr>
      <w:r w:rsidRPr="00212218">
        <w:rPr>
          <w:rFonts w:ascii="Garamond" w:hAnsi="Garamond" w:cs="Times New Roman"/>
          <w:lang w:val="en-US"/>
        </w:rPr>
        <w:t xml:space="preserve">While disclosure can inform an electorate, and hold government officials accountable, public scrutiny can also impact the quality of </w:t>
      </w:r>
      <w:r w:rsidRPr="00212218">
        <w:rPr>
          <w:rFonts w:ascii="Garamond" w:hAnsi="Garamond" w:cs="Times New Roman"/>
          <w:lang w:val="en-US"/>
        </w:rPr>
        <w:lastRenderedPageBreak/>
        <w:t>decision-making. Publication can call attention</w:t>
      </w:r>
      <w:r w:rsidRPr="00212218">
        <w:rPr>
          <w:rStyle w:val="Appelnotedebasdep"/>
          <w:rFonts w:ascii="Garamond" w:hAnsi="Garamond" w:cs="Times New Roman"/>
          <w:lang w:val="en-US"/>
        </w:rPr>
        <w:footnoteReference w:id="40"/>
      </w:r>
      <w:r w:rsidRPr="00212218">
        <w:rPr>
          <w:rFonts w:ascii="Garamond" w:hAnsi="Garamond" w:cs="Times New Roman"/>
          <w:lang w:val="en-US"/>
        </w:rPr>
        <w:t xml:space="preserve"> to the standards being attained, or the failure to meet those standards, and the very fact that the outcome will be published can encourage rigor. </w:t>
      </w:r>
    </w:p>
    <w:p w14:paraId="22EDBF04" w14:textId="304DD30F" w:rsidR="00252A51" w:rsidRPr="00212218" w:rsidRDefault="00252A51" w:rsidP="00975542">
      <w:pPr>
        <w:pStyle w:val="Titre3"/>
        <w:numPr>
          <w:ilvl w:val="0"/>
          <w:numId w:val="36"/>
        </w:numPr>
        <w:ind w:left="1494"/>
        <w:rPr>
          <w:lang w:val="en-US"/>
        </w:rPr>
      </w:pPr>
      <w:bookmarkStart w:id="16" w:name="_Toc287266211"/>
      <w:bookmarkStart w:id="17" w:name="_Toc289002243"/>
      <w:r w:rsidRPr="00212218">
        <w:t>Through</w:t>
      </w:r>
      <w:r w:rsidRPr="00212218">
        <w:rPr>
          <w:lang w:val="en-US"/>
        </w:rPr>
        <w:t xml:space="preserve"> direct public participation</w:t>
      </w:r>
      <w:bookmarkEnd w:id="16"/>
      <w:bookmarkEnd w:id="17"/>
    </w:p>
    <w:p w14:paraId="5C684A38" w14:textId="4F55E9AB" w:rsidR="00252A51" w:rsidRPr="00212218" w:rsidRDefault="00252A51" w:rsidP="00212218">
      <w:pPr>
        <w:pStyle w:val="Normalweb"/>
        <w:spacing w:before="0" w:beforeAutospacing="0" w:after="240" w:afterAutospacing="0" w:line="240" w:lineRule="auto"/>
        <w:jc w:val="both"/>
        <w:rPr>
          <w:rFonts w:ascii="Garamond" w:hAnsi="Garamond"/>
          <w:sz w:val="24"/>
          <w:szCs w:val="24"/>
          <w:lang w:val="en-US"/>
        </w:rPr>
      </w:pPr>
      <w:r w:rsidRPr="00212218">
        <w:rPr>
          <w:rFonts w:ascii="Garamond" w:hAnsi="Garamond"/>
          <w:sz w:val="24"/>
          <w:szCs w:val="24"/>
          <w:lang w:val="en-US"/>
        </w:rPr>
        <w:t>The idea that open access to information facilitates public participation in governmental processes raises a number of issues concerning individual rights and representative democracy. The ability to cast an informed vote is essential in a representative democracy. Individuals can use their own personal records to challenge the accuracy of government information, seek revision of records, and challenge decisions in courts or tribunals. Other administrative law principles, notably procedural fairness</w:t>
      </w:r>
      <w:r w:rsidRPr="00212218">
        <w:rPr>
          <w:rStyle w:val="Appelnotedebasdep"/>
          <w:rFonts w:ascii="Garamond" w:hAnsi="Garamond"/>
          <w:sz w:val="24"/>
          <w:szCs w:val="24"/>
          <w:lang w:val="en-US"/>
        </w:rPr>
        <w:footnoteReference w:id="41"/>
      </w:r>
      <w:r w:rsidRPr="00212218">
        <w:rPr>
          <w:rFonts w:ascii="Garamond" w:hAnsi="Garamond"/>
          <w:sz w:val="24"/>
          <w:szCs w:val="24"/>
          <w:lang w:val="en-US"/>
        </w:rPr>
        <w:t>, help ensure that individuals directly affected by government decisions are properly informed and given an opportunity to make submissions.</w:t>
      </w:r>
      <w:r w:rsidR="00975542">
        <w:rPr>
          <w:rFonts w:ascii="Garamond" w:hAnsi="Garamond"/>
          <w:sz w:val="24"/>
          <w:szCs w:val="24"/>
          <w:lang w:val="en-US"/>
        </w:rPr>
        <w:br/>
      </w:r>
      <w:r w:rsidRPr="00212218">
        <w:rPr>
          <w:rFonts w:ascii="Garamond" w:hAnsi="Garamond"/>
          <w:sz w:val="24"/>
          <w:szCs w:val="24"/>
          <w:lang w:val="en-US"/>
        </w:rPr>
        <w:t>However, public participation in the processes of government at the level of policy formulation, and decisions of general application, are two of the most elusive benefits claimed for open government. What do proponents mean when they say that access to information is justified on the basis that it will facilitate pubic participation in decisions that impact the public at large?</w:t>
      </w:r>
    </w:p>
    <w:p w14:paraId="055A354C" w14:textId="31780EA9" w:rsidR="00252A51" w:rsidRPr="003F6A60" w:rsidRDefault="00212218" w:rsidP="00212218">
      <w:pPr>
        <w:pStyle w:val="Titre1"/>
        <w:rPr>
          <w:lang w:val="en-US"/>
        </w:rPr>
      </w:pPr>
      <w:bookmarkStart w:id="18" w:name="_Toc287266212"/>
      <w:bookmarkStart w:id="19" w:name="_Toc289002244"/>
      <w:r w:rsidRPr="003F6A60">
        <w:rPr>
          <w:rFonts w:cs="Times New Roman"/>
          <w:lang w:val="en-US"/>
        </w:rPr>
        <w:t>§</w:t>
      </w:r>
      <w:r w:rsidR="00410194">
        <w:rPr>
          <w:rFonts w:cs="Times New Roman"/>
          <w:lang w:val="en-US"/>
        </w:rPr>
        <w:t> </w:t>
      </w:r>
      <w:r w:rsidRPr="003F6A60">
        <w:rPr>
          <w:rFonts w:cs="Times New Roman"/>
          <w:lang w:val="en-US"/>
        </w:rPr>
        <w:t xml:space="preserve">2 – </w:t>
      </w:r>
      <w:r w:rsidR="00252A51" w:rsidRPr="003F6A60">
        <w:rPr>
          <w:lang w:val="en-US"/>
        </w:rPr>
        <w:t>Australian freedom of information</w:t>
      </w:r>
      <w:bookmarkEnd w:id="18"/>
      <w:bookmarkEnd w:id="19"/>
      <w:r w:rsidR="00252A51" w:rsidRPr="003F6A60">
        <w:rPr>
          <w:lang w:val="en-US"/>
        </w:rPr>
        <w:t xml:space="preserve"> – the objects </w:t>
      </w:r>
    </w:p>
    <w:p w14:paraId="64E05D24" w14:textId="77777777" w:rsidR="00252A51" w:rsidRPr="00212218" w:rsidRDefault="00252A51" w:rsidP="00A37FC2">
      <w:pPr>
        <w:pStyle w:val="Normalweb"/>
        <w:spacing w:before="0" w:beforeAutospacing="0" w:after="0" w:afterAutospacing="0" w:line="240" w:lineRule="auto"/>
        <w:jc w:val="both"/>
        <w:rPr>
          <w:rFonts w:ascii="Garamond" w:hAnsi="Garamond"/>
          <w:sz w:val="24"/>
          <w:szCs w:val="24"/>
          <w:lang w:val="en-US"/>
        </w:rPr>
      </w:pPr>
      <w:r w:rsidRPr="00212218">
        <w:rPr>
          <w:rFonts w:ascii="Garamond" w:hAnsi="Garamond"/>
          <w:sz w:val="24"/>
          <w:szCs w:val="24"/>
          <w:lang w:val="en-US"/>
        </w:rPr>
        <w:t>Public service and parliamentary committees conducted over a decade of reviews and reporting before FOI was introduced in Australia at a Federal level in 1982.</w:t>
      </w:r>
      <w:r w:rsidRPr="00212218">
        <w:rPr>
          <w:rStyle w:val="Appelnotedebasdep"/>
          <w:rFonts w:ascii="Garamond" w:hAnsi="Garamond"/>
          <w:sz w:val="24"/>
          <w:szCs w:val="24"/>
          <w:lang w:val="en-US"/>
        </w:rPr>
        <w:footnoteReference w:id="42"/>
      </w:r>
      <w:r w:rsidRPr="00212218">
        <w:rPr>
          <w:rFonts w:ascii="Garamond" w:hAnsi="Garamond"/>
          <w:sz w:val="24"/>
          <w:szCs w:val="24"/>
          <w:lang w:val="en-US"/>
        </w:rPr>
        <w:t xml:space="preserve"> In 1979, the Senate Standing Committee on Constitutional and Legal Affairs published a report on a 1978 version of the Federal FOI Bill.</w:t>
      </w:r>
      <w:r w:rsidRPr="00212218">
        <w:rPr>
          <w:rStyle w:val="Appelnotedebasdep"/>
          <w:rFonts w:ascii="Garamond" w:hAnsi="Garamond"/>
          <w:sz w:val="24"/>
          <w:szCs w:val="24"/>
          <w:lang w:val="en-US"/>
        </w:rPr>
        <w:footnoteReference w:id="43"/>
      </w:r>
      <w:r w:rsidRPr="00212218">
        <w:rPr>
          <w:rFonts w:ascii="Garamond" w:hAnsi="Garamond"/>
          <w:sz w:val="24"/>
          <w:szCs w:val="24"/>
          <w:lang w:val="en-US"/>
        </w:rPr>
        <w:t xml:space="preserve"> The Standing Committee identified three separate justifications for introducing FOI legislation, all of which arose out of the principles of democratic government.</w:t>
      </w:r>
      <w:r w:rsidRPr="00212218">
        <w:rPr>
          <w:rStyle w:val="Appelnotedebasdep"/>
          <w:rFonts w:ascii="Garamond" w:hAnsi="Garamond"/>
          <w:sz w:val="24"/>
          <w:szCs w:val="24"/>
          <w:lang w:val="en-US"/>
        </w:rPr>
        <w:footnoteReference w:id="44"/>
      </w:r>
      <w:r w:rsidRPr="00212218">
        <w:rPr>
          <w:rFonts w:ascii="Garamond" w:hAnsi="Garamond"/>
          <w:sz w:val="24"/>
          <w:szCs w:val="24"/>
          <w:lang w:val="en-US"/>
        </w:rPr>
        <w:t xml:space="preserve"> The first two were: </w:t>
      </w:r>
    </w:p>
    <w:p w14:paraId="0E6220B9" w14:textId="4570D467" w:rsidR="00252A51" w:rsidRPr="00212218" w:rsidRDefault="00A37FC2" w:rsidP="009A13B4">
      <w:pPr>
        <w:pStyle w:val="Normalweb"/>
        <w:spacing w:before="0" w:beforeAutospacing="0" w:after="0" w:afterAutospacing="0" w:line="240" w:lineRule="auto"/>
        <w:ind w:left="567"/>
        <w:jc w:val="both"/>
        <w:rPr>
          <w:rFonts w:ascii="Garamond" w:hAnsi="Garamond"/>
          <w:sz w:val="24"/>
          <w:szCs w:val="24"/>
          <w:lang w:val="en-US"/>
        </w:rPr>
      </w:pPr>
      <w:r>
        <w:rPr>
          <w:rFonts w:ascii="Garamond" w:hAnsi="Garamond"/>
          <w:sz w:val="24"/>
          <w:szCs w:val="24"/>
          <w:lang w:val="en-US"/>
        </w:rPr>
        <w:t xml:space="preserve">1. </w:t>
      </w:r>
      <w:r w:rsidR="00252A51" w:rsidRPr="00212218">
        <w:rPr>
          <w:rFonts w:ascii="Garamond" w:hAnsi="Garamond"/>
          <w:sz w:val="24"/>
          <w:szCs w:val="24"/>
          <w:lang w:val="en-US"/>
        </w:rPr>
        <w:t>“the rights of the individual to know what personal information is held in government files; and</w:t>
      </w:r>
    </w:p>
    <w:p w14:paraId="658E093C" w14:textId="3E80B459" w:rsidR="00252A51" w:rsidRPr="00212218" w:rsidRDefault="00A37FC2" w:rsidP="009A13B4">
      <w:pPr>
        <w:pStyle w:val="Normalweb"/>
        <w:spacing w:before="0" w:beforeAutospacing="0" w:after="0" w:afterAutospacing="0" w:line="240" w:lineRule="auto"/>
        <w:ind w:left="567"/>
        <w:jc w:val="both"/>
        <w:rPr>
          <w:rFonts w:ascii="Garamond" w:hAnsi="Garamond"/>
          <w:sz w:val="24"/>
          <w:szCs w:val="24"/>
          <w:lang w:val="en-US"/>
        </w:rPr>
      </w:pPr>
      <w:r>
        <w:rPr>
          <w:rFonts w:ascii="Garamond" w:hAnsi="Garamond"/>
          <w:sz w:val="24"/>
          <w:szCs w:val="24"/>
          <w:lang w:val="en-US"/>
        </w:rPr>
        <w:t xml:space="preserve">2. </w:t>
      </w:r>
      <w:r w:rsidR="00252A51" w:rsidRPr="00212218">
        <w:rPr>
          <w:rFonts w:ascii="Garamond" w:hAnsi="Garamond"/>
          <w:sz w:val="24"/>
          <w:szCs w:val="24"/>
          <w:lang w:val="en-US"/>
        </w:rPr>
        <w:t>the accountability of government through public scrutiny.”</w:t>
      </w:r>
    </w:p>
    <w:p w14:paraId="15052D33" w14:textId="77777777" w:rsidR="00252A51" w:rsidRPr="00212218" w:rsidRDefault="00252A51" w:rsidP="00A37FC2">
      <w:pPr>
        <w:pStyle w:val="Normalweb"/>
        <w:spacing w:before="0" w:beforeAutospacing="0" w:after="0" w:afterAutospacing="0" w:line="240" w:lineRule="auto"/>
        <w:jc w:val="both"/>
        <w:rPr>
          <w:rFonts w:ascii="Garamond" w:hAnsi="Garamond"/>
          <w:sz w:val="24"/>
          <w:szCs w:val="24"/>
          <w:lang w:val="en-US"/>
        </w:rPr>
      </w:pPr>
      <w:r w:rsidRPr="00212218">
        <w:rPr>
          <w:rFonts w:ascii="Garamond" w:hAnsi="Garamond"/>
          <w:sz w:val="24"/>
          <w:szCs w:val="24"/>
          <w:lang w:val="en-US"/>
        </w:rPr>
        <w:lastRenderedPageBreak/>
        <w:t>The third justification is of particular interest to this analysis, and read as follows:</w:t>
      </w:r>
    </w:p>
    <w:p w14:paraId="70BB4FD7" w14:textId="57B99487" w:rsidR="00252A51" w:rsidRPr="00212218" w:rsidRDefault="00252A51" w:rsidP="009A13B4">
      <w:pPr>
        <w:pStyle w:val="Normalweb"/>
        <w:spacing w:before="0" w:beforeAutospacing="0" w:after="0" w:afterAutospacing="0" w:line="240" w:lineRule="auto"/>
        <w:ind w:left="567"/>
        <w:jc w:val="both"/>
        <w:rPr>
          <w:rFonts w:ascii="Garamond" w:hAnsi="Garamond"/>
          <w:sz w:val="24"/>
          <w:szCs w:val="24"/>
          <w:lang w:val="en-US"/>
        </w:rPr>
      </w:pPr>
      <w:r w:rsidRPr="00212218">
        <w:rPr>
          <w:rFonts w:ascii="Garamond" w:hAnsi="Garamond"/>
          <w:sz w:val="24"/>
          <w:szCs w:val="24"/>
          <w:lang w:val="en-US"/>
        </w:rPr>
        <w:t xml:space="preserve">“3. If people are adequately informed, and have access to information, this in turn will lead to an </w:t>
      </w:r>
      <w:r w:rsidRPr="00212218">
        <w:rPr>
          <w:rFonts w:ascii="Garamond" w:hAnsi="Garamond"/>
          <w:i/>
          <w:sz w:val="24"/>
          <w:szCs w:val="24"/>
          <w:lang w:val="en-US"/>
        </w:rPr>
        <w:t>increasing level of public participation in the processes of policy making and government itself</w:t>
      </w:r>
      <w:r w:rsidRPr="00212218">
        <w:rPr>
          <w:rFonts w:ascii="Garamond" w:hAnsi="Garamond"/>
          <w:sz w:val="24"/>
          <w:szCs w:val="24"/>
          <w:lang w:val="en-US"/>
        </w:rPr>
        <w:t>. Governments should be constantly in receipt of advice, not only from the professional public service but also from other sections of the community and from individual citizens and their members of Parliament. Unless information is available to the people other than those professionally in the service of the government, then the idea of citizens participating in a significant and effective way in the process of policy making is set at naught. This participation is impossible without access to information.”</w:t>
      </w:r>
      <w:r w:rsidRPr="00212218">
        <w:rPr>
          <w:rStyle w:val="Appelnotedebasdep"/>
          <w:rFonts w:ascii="Garamond" w:hAnsi="Garamond"/>
          <w:sz w:val="24"/>
          <w:szCs w:val="24"/>
          <w:lang w:val="en-US"/>
        </w:rPr>
        <w:footnoteReference w:id="45"/>
      </w:r>
    </w:p>
    <w:p w14:paraId="3EC04853" w14:textId="28827A35" w:rsidR="00252A51" w:rsidRPr="00975542" w:rsidRDefault="00252A51" w:rsidP="00A37FC2">
      <w:pPr>
        <w:pStyle w:val="Normalweb"/>
        <w:spacing w:before="0" w:beforeAutospacing="0" w:after="0" w:afterAutospacing="0" w:line="240" w:lineRule="auto"/>
        <w:jc w:val="both"/>
        <w:rPr>
          <w:rFonts w:ascii="Garamond" w:eastAsia="Times New Roman" w:hAnsi="Garamond"/>
          <w:sz w:val="24"/>
          <w:szCs w:val="24"/>
          <w:lang w:eastAsia="en-AU"/>
        </w:rPr>
      </w:pPr>
      <w:r w:rsidRPr="00212218">
        <w:rPr>
          <w:rFonts w:ascii="Garamond" w:hAnsi="Garamond"/>
          <w:sz w:val="24"/>
          <w:szCs w:val="24"/>
          <w:lang w:val="en-US"/>
        </w:rPr>
        <w:t>While it is clear that all participants in governmental processes must be properly informed, and that broad participation is founded upon open access to information, what is less than clear is the kind of public participation that was envisaged. Was it public involvement in governmental processes by the submission of information, or some more direct involvement in the decision-making process?</w:t>
      </w:r>
      <w:r w:rsidR="00975542">
        <w:rPr>
          <w:rFonts w:ascii="Garamond" w:hAnsi="Garamond"/>
          <w:sz w:val="24"/>
          <w:szCs w:val="24"/>
          <w:lang w:val="en-US"/>
        </w:rPr>
        <w:tab/>
      </w:r>
      <w:r w:rsidR="00975542">
        <w:rPr>
          <w:rFonts w:ascii="Garamond" w:hAnsi="Garamond"/>
          <w:sz w:val="24"/>
          <w:szCs w:val="24"/>
          <w:lang w:val="en-US"/>
        </w:rPr>
        <w:br/>
      </w:r>
      <w:r w:rsidRPr="00975542">
        <w:rPr>
          <w:rFonts w:ascii="Garamond" w:hAnsi="Garamond"/>
          <w:sz w:val="24"/>
        </w:rPr>
        <w:t>When the legislation was enacted in 1982</w:t>
      </w:r>
      <w:r w:rsidRPr="00975542">
        <w:rPr>
          <w:rStyle w:val="Appelnotedebasdep"/>
          <w:rFonts w:ascii="Garamond" w:hAnsi="Garamond"/>
          <w:sz w:val="24"/>
        </w:rPr>
        <w:footnoteReference w:id="46"/>
      </w:r>
      <w:r w:rsidRPr="00975542">
        <w:rPr>
          <w:rFonts w:ascii="Garamond" w:hAnsi="Garamond"/>
          <w:sz w:val="24"/>
        </w:rPr>
        <w:t xml:space="preserve"> the object clause (section</w:t>
      </w:r>
      <w:r w:rsidR="00410194">
        <w:rPr>
          <w:rFonts w:ascii="Garamond" w:hAnsi="Garamond"/>
          <w:sz w:val="24"/>
        </w:rPr>
        <w:t> </w:t>
      </w:r>
      <w:r w:rsidRPr="00975542">
        <w:rPr>
          <w:rFonts w:ascii="Garamond" w:hAnsi="Garamond"/>
          <w:sz w:val="24"/>
        </w:rPr>
        <w:t xml:space="preserve">3) expressed the purpose of the legislation as providing the community with a right to </w:t>
      </w:r>
      <w:r w:rsidRPr="00975542">
        <w:rPr>
          <w:rFonts w:ascii="Garamond" w:eastAsia="Times New Roman" w:hAnsi="Garamond"/>
          <w:sz w:val="24"/>
          <w:lang w:eastAsia="en-AU"/>
        </w:rPr>
        <w:t>access governmental information. It then obliged government to publish specific information, and created exceptions and exemptions to disclosure that were regarded as necessary to protect essential public and private interests. The legislation did not refer to any underlying democratic principles.</w:t>
      </w:r>
      <w:r w:rsidRPr="00975542">
        <w:rPr>
          <w:rFonts w:ascii="Garamond" w:hAnsi="Garamond"/>
          <w:sz w:val="24"/>
        </w:rPr>
        <w:t>‬</w:t>
      </w:r>
      <w:r w:rsidRPr="00975542">
        <w:rPr>
          <w:rFonts w:ascii="Garamond" w:hAnsi="Garamond"/>
          <w:sz w:val="24"/>
        </w:rPr>
        <w:t>‬</w:t>
      </w:r>
      <w:r w:rsidRPr="00975542">
        <w:rPr>
          <w:rFonts w:ascii="Garamond" w:hAnsi="Garamond"/>
          <w:sz w:val="24"/>
        </w:rPr>
        <w:t>‬</w:t>
      </w:r>
      <w:r w:rsidRPr="00975542">
        <w:rPr>
          <w:rFonts w:ascii="Garamond" w:hAnsi="Garamond"/>
          <w:sz w:val="24"/>
        </w:rPr>
        <w:t>‬</w:t>
      </w:r>
      <w:r w:rsidRPr="00975542">
        <w:rPr>
          <w:rFonts w:ascii="Garamond" w:hAnsi="Garamond"/>
          <w:sz w:val="24"/>
        </w:rPr>
        <w:t>‬</w:t>
      </w:r>
      <w:r w:rsidRPr="00975542">
        <w:rPr>
          <w:rFonts w:ascii="Garamond" w:hAnsi="Garamond"/>
          <w:sz w:val="24"/>
        </w:rPr>
        <w:t>‬</w:t>
      </w:r>
      <w:r w:rsidRPr="00975542">
        <w:rPr>
          <w:rFonts w:ascii="Garamond" w:hAnsi="Garamond"/>
          <w:sz w:val="24"/>
        </w:rPr>
        <w:t>‬</w:t>
      </w:r>
      <w:r w:rsidRPr="00975542">
        <w:rPr>
          <w:rFonts w:ascii="Garamond" w:hAnsi="Garamond"/>
          <w:sz w:val="24"/>
        </w:rPr>
        <w:t>‬</w:t>
      </w:r>
      <w:r w:rsidRPr="00975542">
        <w:rPr>
          <w:rFonts w:ascii="Garamond" w:hAnsi="Garamond"/>
          <w:sz w:val="24"/>
        </w:rPr>
        <w:t>‬</w:t>
      </w:r>
      <w:r w:rsidRPr="00975542">
        <w:rPr>
          <w:rFonts w:ascii="Garamond" w:hAnsi="Garamond"/>
          <w:sz w:val="24"/>
        </w:rPr>
        <w:t>‬</w:t>
      </w:r>
      <w:r w:rsidRPr="00975542">
        <w:rPr>
          <w:rFonts w:ascii="Garamond" w:hAnsi="Garamond"/>
          <w:sz w:val="24"/>
        </w:rPr>
        <w:t>‬</w:t>
      </w:r>
      <w:r w:rsidRPr="00975542">
        <w:rPr>
          <w:rFonts w:ascii="Garamond" w:hAnsi="Garamond"/>
          <w:sz w:val="24"/>
        </w:rPr>
        <w:t>‬</w:t>
      </w:r>
      <w:r w:rsidRPr="00975542">
        <w:rPr>
          <w:rFonts w:ascii="Garamond" w:hAnsi="Garamond"/>
          <w:sz w:val="24"/>
        </w:rPr>
        <w:t>‬</w:t>
      </w:r>
      <w:r w:rsidRPr="00975542">
        <w:rPr>
          <w:rFonts w:ascii="Garamond" w:hAnsi="Garamond"/>
          <w:sz w:val="24"/>
        </w:rPr>
        <w:t>‬</w:t>
      </w:r>
      <w:r w:rsidRPr="00975542">
        <w:rPr>
          <w:rFonts w:ascii="Garamond" w:hAnsi="Garamond"/>
          <w:sz w:val="24"/>
        </w:rPr>
        <w:t>‬</w:t>
      </w:r>
      <w:r w:rsidRPr="00975542">
        <w:rPr>
          <w:rFonts w:ascii="Garamond" w:hAnsi="Garamond"/>
          <w:sz w:val="24"/>
        </w:rPr>
        <w:t>‬</w:t>
      </w:r>
      <w:r w:rsidRPr="00975542">
        <w:rPr>
          <w:rFonts w:ascii="Garamond" w:hAnsi="Garamond"/>
          <w:sz w:val="24"/>
        </w:rPr>
        <w:t>‬</w:t>
      </w:r>
      <w:r w:rsidRPr="00975542">
        <w:rPr>
          <w:rFonts w:ascii="Garamond" w:hAnsi="Garamond"/>
          <w:sz w:val="24"/>
        </w:rPr>
        <w:t>‬</w:t>
      </w:r>
      <w:r w:rsidRPr="00975542">
        <w:rPr>
          <w:rFonts w:ascii="Garamond" w:hAnsi="Garamond"/>
          <w:sz w:val="24"/>
        </w:rPr>
        <w:t>‬</w:t>
      </w:r>
      <w:r w:rsidR="00892D07" w:rsidRPr="00975542">
        <w:rPr>
          <w:rFonts w:ascii="Garamond" w:hAnsi="Garamond"/>
          <w:sz w:val="24"/>
        </w:rPr>
        <w:t>‬</w:t>
      </w:r>
      <w:r w:rsidR="00191BD3" w:rsidRPr="00975542">
        <w:rPr>
          <w:rFonts w:ascii="Garamond" w:hAnsi="Garamond"/>
          <w:sz w:val="24"/>
        </w:rPr>
        <w:t>‬</w:t>
      </w:r>
      <w:r w:rsidR="0013354C" w:rsidRPr="00975542">
        <w:rPr>
          <w:sz w:val="24"/>
        </w:rPr>
        <w:t>‬</w:t>
      </w:r>
      <w:r w:rsidR="00975542">
        <w:rPr>
          <w:rFonts w:ascii="Garamond" w:hAnsi="Garamond"/>
          <w:sz w:val="36"/>
          <w:szCs w:val="24"/>
          <w:lang w:val="en-US"/>
        </w:rPr>
        <w:br/>
      </w:r>
      <w:r w:rsidRPr="00975542">
        <w:rPr>
          <w:rFonts w:ascii="Garamond" w:hAnsi="Garamond"/>
          <w:sz w:val="24"/>
          <w:szCs w:val="24"/>
        </w:rPr>
        <w:t>The first annual report by the Federal Attorney-General on the operation of the 1982 FOI Act</w:t>
      </w:r>
      <w:r w:rsidRPr="00975542">
        <w:rPr>
          <w:rStyle w:val="Appelnotedebasdep"/>
          <w:rFonts w:ascii="Garamond" w:hAnsi="Garamond"/>
          <w:sz w:val="24"/>
          <w:szCs w:val="24"/>
        </w:rPr>
        <w:footnoteReference w:id="47"/>
      </w:r>
      <w:r w:rsidRPr="00975542">
        <w:rPr>
          <w:rFonts w:ascii="Garamond" w:hAnsi="Garamond"/>
          <w:sz w:val="24"/>
          <w:szCs w:val="24"/>
        </w:rPr>
        <w:t xml:space="preserve"> listed the following purposes and benefits that the FOI legislation was intended to confer on the relationship between citizens and government:</w:t>
      </w:r>
    </w:p>
    <w:p w14:paraId="71A36686" w14:textId="5A45515C" w:rsidR="00252A51" w:rsidRPr="007C456C" w:rsidRDefault="00A37FC2" w:rsidP="00A37FC2">
      <w:pPr>
        <w:pStyle w:val="Pardeliste"/>
        <w:ind w:left="567"/>
        <w:contextualSpacing w:val="0"/>
        <w:rPr>
          <w:rFonts w:ascii="Garamond" w:hAnsi="Garamond" w:cs="Times New Roman"/>
          <w:lang w:val="en-US"/>
        </w:rPr>
      </w:pPr>
      <w:r>
        <w:rPr>
          <w:rFonts w:ascii="Garamond" w:hAnsi="Garamond" w:cs="Times New Roman"/>
          <w:lang w:val="en-US"/>
        </w:rPr>
        <w:t xml:space="preserve">– </w:t>
      </w:r>
      <w:r w:rsidR="00252A51" w:rsidRPr="007C456C">
        <w:rPr>
          <w:rFonts w:ascii="Garamond" w:hAnsi="Garamond" w:cs="Times New Roman"/>
          <w:lang w:val="en-US"/>
        </w:rPr>
        <w:t>“to improve the quality of decision-making by government agencies in both policy and administrative matters by removing unnecessary secrecy surrounding the decision-making process;</w:t>
      </w:r>
    </w:p>
    <w:p w14:paraId="24A122BC" w14:textId="567EC35E" w:rsidR="00252A51" w:rsidRPr="007C456C" w:rsidRDefault="00A37FC2" w:rsidP="00A37FC2">
      <w:pPr>
        <w:pStyle w:val="Pardeliste"/>
        <w:ind w:left="567"/>
        <w:contextualSpacing w:val="0"/>
        <w:rPr>
          <w:rFonts w:ascii="Garamond" w:hAnsi="Garamond" w:cs="Times New Roman"/>
          <w:lang w:val="en-US"/>
        </w:rPr>
      </w:pPr>
      <w:r>
        <w:rPr>
          <w:rFonts w:ascii="Garamond" w:hAnsi="Garamond" w:cs="Times New Roman"/>
          <w:lang w:val="en-US"/>
        </w:rPr>
        <w:t xml:space="preserve">– </w:t>
      </w:r>
      <w:r w:rsidR="00252A51" w:rsidRPr="007C456C">
        <w:rPr>
          <w:rFonts w:ascii="Garamond" w:hAnsi="Garamond" w:cs="Times New Roman"/>
          <w:lang w:val="en-US"/>
        </w:rPr>
        <w:t>to enable groups and individuals to be kept informed of the functioning of the decision-making process as it affects them and to know the kinds of criteria that will be applied by government agencies in making those decisions;</w:t>
      </w:r>
    </w:p>
    <w:p w14:paraId="54BE4A1B" w14:textId="3737DC2C" w:rsidR="00252A51" w:rsidRPr="007C456C" w:rsidRDefault="00A37FC2" w:rsidP="00A37FC2">
      <w:pPr>
        <w:pStyle w:val="Pardeliste"/>
        <w:ind w:left="567"/>
        <w:contextualSpacing w:val="0"/>
        <w:rPr>
          <w:rFonts w:ascii="Garamond" w:hAnsi="Garamond" w:cs="Times New Roman"/>
          <w:i/>
          <w:lang w:val="en-US"/>
        </w:rPr>
      </w:pPr>
      <w:r>
        <w:rPr>
          <w:rFonts w:ascii="Garamond" w:hAnsi="Garamond" w:cs="Times New Roman"/>
          <w:lang w:val="en-US"/>
        </w:rPr>
        <w:t xml:space="preserve">– </w:t>
      </w:r>
      <w:r w:rsidR="00252A51" w:rsidRPr="007C456C">
        <w:rPr>
          <w:rFonts w:ascii="Garamond" w:hAnsi="Garamond" w:cs="Times New Roman"/>
          <w:i/>
          <w:lang w:val="en-US"/>
        </w:rPr>
        <w:t>to develop further the quality of political democracy by giving the opportunity to all Australians to participate fully in the political process;</w:t>
      </w:r>
    </w:p>
    <w:p w14:paraId="232DD669" w14:textId="389C1B52" w:rsidR="00252A51" w:rsidRPr="003F6A60" w:rsidRDefault="00A37FC2" w:rsidP="00A37FC2">
      <w:pPr>
        <w:pStyle w:val="Pardeliste"/>
        <w:ind w:left="567"/>
        <w:contextualSpacing w:val="0"/>
        <w:rPr>
          <w:rFonts w:ascii="Garamond" w:hAnsi="Garamond" w:cs="Times New Roman"/>
          <w:lang w:val="en-US"/>
        </w:rPr>
      </w:pPr>
      <w:r>
        <w:rPr>
          <w:rFonts w:ascii="Garamond" w:hAnsi="Garamond" w:cs="Times New Roman"/>
          <w:lang w:val="en-US"/>
        </w:rPr>
        <w:t xml:space="preserve">– </w:t>
      </w:r>
      <w:r w:rsidR="00252A51" w:rsidRPr="003F6A60">
        <w:rPr>
          <w:rFonts w:ascii="Garamond" w:hAnsi="Garamond" w:cs="Times New Roman"/>
          <w:lang w:val="en-US"/>
        </w:rPr>
        <w:t xml:space="preserve">to enable individuals, except in very limited and exceptional circumstances, to have access to information about them held on government files, so that they may know the basis on which decision that can fundamentally affect their lives </w:t>
      </w:r>
      <w:r w:rsidR="00252A51" w:rsidRPr="003F6A60">
        <w:rPr>
          <w:rFonts w:ascii="Garamond" w:hAnsi="Garamond" w:cs="Times New Roman"/>
          <w:lang w:val="en-US"/>
        </w:rPr>
        <w:lastRenderedPageBreak/>
        <w:t>are made and may have the opportunity of correcting information that is untrue or misleading.”</w:t>
      </w:r>
      <w:r w:rsidR="00252A51" w:rsidRPr="00212218">
        <w:rPr>
          <w:rStyle w:val="Appelnotedebasdep"/>
          <w:rFonts w:ascii="Garamond" w:hAnsi="Garamond" w:cs="Times New Roman"/>
        </w:rPr>
        <w:footnoteReference w:id="48"/>
      </w:r>
    </w:p>
    <w:p w14:paraId="30874380" w14:textId="77777777" w:rsidR="00252A51" w:rsidRPr="00212218" w:rsidRDefault="00252A51" w:rsidP="00A37FC2">
      <w:pPr>
        <w:pStyle w:val="Normalweb"/>
        <w:spacing w:before="0" w:beforeAutospacing="0" w:after="0" w:afterAutospacing="0" w:line="240" w:lineRule="auto"/>
        <w:jc w:val="both"/>
        <w:rPr>
          <w:rFonts w:ascii="Garamond" w:hAnsi="Garamond"/>
          <w:sz w:val="24"/>
          <w:szCs w:val="24"/>
          <w:lang w:val="en-US"/>
        </w:rPr>
      </w:pPr>
      <w:r w:rsidRPr="00212218">
        <w:rPr>
          <w:rFonts w:ascii="Garamond" w:hAnsi="Garamond"/>
          <w:sz w:val="24"/>
          <w:szCs w:val="24"/>
          <w:lang w:val="en-US"/>
        </w:rPr>
        <w:t>The underlying philosophy of FOI was expressed in the first annual report as follows:</w:t>
      </w:r>
    </w:p>
    <w:p w14:paraId="503558AB" w14:textId="70C01EDE" w:rsidR="00252A51" w:rsidRPr="00212218" w:rsidRDefault="00A37FC2" w:rsidP="00A37FC2">
      <w:pPr>
        <w:pStyle w:val="Normalweb"/>
        <w:spacing w:before="0" w:beforeAutospacing="0" w:after="0" w:afterAutospacing="0" w:line="240" w:lineRule="auto"/>
        <w:ind w:left="567"/>
        <w:jc w:val="both"/>
        <w:rPr>
          <w:rFonts w:ascii="Garamond" w:hAnsi="Garamond"/>
          <w:sz w:val="24"/>
          <w:szCs w:val="24"/>
          <w:lang w:val="en-US"/>
        </w:rPr>
      </w:pPr>
      <w:r>
        <w:rPr>
          <w:rFonts w:ascii="Garamond" w:hAnsi="Garamond"/>
          <w:lang w:val="en-US"/>
        </w:rPr>
        <w:t xml:space="preserve">– </w:t>
      </w:r>
      <w:r w:rsidR="00252A51" w:rsidRPr="00212218">
        <w:rPr>
          <w:rFonts w:ascii="Garamond" w:hAnsi="Garamond"/>
          <w:sz w:val="24"/>
          <w:szCs w:val="24"/>
          <w:lang w:val="en-US"/>
        </w:rPr>
        <w:t>“when government is more open to public scrutiny it becomes more accountable</w:t>
      </w:r>
    </w:p>
    <w:p w14:paraId="299789CA" w14:textId="2FBF0101" w:rsidR="00252A51" w:rsidRPr="00212218" w:rsidRDefault="00A37FC2" w:rsidP="00A37FC2">
      <w:pPr>
        <w:pStyle w:val="Normalweb"/>
        <w:spacing w:before="0" w:beforeAutospacing="0" w:after="0" w:afterAutospacing="0" w:line="240" w:lineRule="auto"/>
        <w:ind w:left="567"/>
        <w:jc w:val="both"/>
        <w:rPr>
          <w:rFonts w:ascii="Garamond" w:hAnsi="Garamond"/>
          <w:i/>
          <w:sz w:val="24"/>
          <w:szCs w:val="24"/>
          <w:lang w:val="en-US"/>
        </w:rPr>
      </w:pPr>
      <w:r>
        <w:rPr>
          <w:rFonts w:ascii="Garamond" w:hAnsi="Garamond"/>
          <w:lang w:val="en-US"/>
        </w:rPr>
        <w:t xml:space="preserve">– </w:t>
      </w:r>
      <w:r w:rsidR="00252A51" w:rsidRPr="00212218">
        <w:rPr>
          <w:rFonts w:ascii="Garamond" w:hAnsi="Garamond"/>
          <w:i/>
          <w:sz w:val="24"/>
          <w:szCs w:val="24"/>
          <w:lang w:val="en-US"/>
        </w:rPr>
        <w:t>if people are adequately informed and have access to information, there is likely to be more public participation in the policy-making process and in government itself</w:t>
      </w:r>
    </w:p>
    <w:p w14:paraId="358DD2EA" w14:textId="08B336F5" w:rsidR="00252A51" w:rsidRPr="00212218" w:rsidRDefault="00A37FC2" w:rsidP="00A37FC2">
      <w:pPr>
        <w:pStyle w:val="Normalweb"/>
        <w:spacing w:before="0" w:beforeAutospacing="0" w:after="0" w:afterAutospacing="0" w:line="240" w:lineRule="auto"/>
        <w:ind w:left="567"/>
        <w:jc w:val="both"/>
        <w:rPr>
          <w:rFonts w:ascii="Garamond" w:hAnsi="Garamond"/>
          <w:sz w:val="24"/>
          <w:szCs w:val="24"/>
          <w:lang w:val="en-US"/>
        </w:rPr>
      </w:pPr>
      <w:r>
        <w:rPr>
          <w:rFonts w:ascii="Garamond" w:hAnsi="Garamond"/>
          <w:lang w:val="en-US"/>
        </w:rPr>
        <w:t xml:space="preserve">– </w:t>
      </w:r>
      <w:r w:rsidR="00252A51" w:rsidRPr="00212218">
        <w:rPr>
          <w:rFonts w:ascii="Garamond" w:hAnsi="Garamond"/>
          <w:sz w:val="24"/>
          <w:szCs w:val="24"/>
          <w:lang w:val="en-US"/>
        </w:rPr>
        <w:t xml:space="preserve">groups and individuals who are affected by government decisions should know the criteria applied in making </w:t>
      </w:r>
      <w:r w:rsidRPr="00212218">
        <w:rPr>
          <w:rFonts w:ascii="Garamond" w:hAnsi="Garamond"/>
          <w:sz w:val="24"/>
          <w:szCs w:val="24"/>
          <w:lang w:val="en-US"/>
        </w:rPr>
        <w:t>those decisions</w:t>
      </w:r>
    </w:p>
    <w:p w14:paraId="05B845E3" w14:textId="6A17CA4B" w:rsidR="00252A51" w:rsidRPr="00212218" w:rsidRDefault="00A37FC2" w:rsidP="00A37FC2">
      <w:pPr>
        <w:pStyle w:val="Normalweb"/>
        <w:spacing w:before="0" w:beforeAutospacing="0" w:after="0" w:afterAutospacing="0" w:line="240" w:lineRule="auto"/>
        <w:ind w:left="567"/>
        <w:jc w:val="both"/>
        <w:rPr>
          <w:rFonts w:ascii="Garamond" w:hAnsi="Garamond"/>
          <w:sz w:val="24"/>
          <w:szCs w:val="24"/>
          <w:lang w:val="en-US"/>
        </w:rPr>
      </w:pPr>
      <w:r>
        <w:rPr>
          <w:rFonts w:ascii="Garamond" w:hAnsi="Garamond"/>
          <w:lang w:val="en-US"/>
        </w:rPr>
        <w:t xml:space="preserve">– </w:t>
      </w:r>
      <w:r w:rsidR="00252A51" w:rsidRPr="00212218">
        <w:rPr>
          <w:rFonts w:ascii="Garamond" w:hAnsi="Garamond"/>
          <w:sz w:val="24"/>
          <w:szCs w:val="24"/>
          <w:lang w:val="en-US"/>
        </w:rPr>
        <w:t>every individual has a right:</w:t>
      </w:r>
      <w:r>
        <w:rPr>
          <w:rFonts w:ascii="Garamond" w:hAnsi="Garamond"/>
          <w:sz w:val="24"/>
          <w:szCs w:val="24"/>
          <w:lang w:val="en-US"/>
        </w:rPr>
        <w:t xml:space="preserve"> </w:t>
      </w:r>
      <w:r w:rsidR="00252A51" w:rsidRPr="00212218">
        <w:rPr>
          <w:rFonts w:ascii="Garamond" w:hAnsi="Garamond"/>
          <w:sz w:val="24"/>
          <w:szCs w:val="24"/>
          <w:lang w:val="en-US"/>
        </w:rPr>
        <w:t>to know what information is held in government records about him or her…”</w:t>
      </w:r>
      <w:r w:rsidR="00252A51" w:rsidRPr="00212218">
        <w:rPr>
          <w:rStyle w:val="Appelnotedebasdep"/>
          <w:rFonts w:ascii="Garamond" w:hAnsi="Garamond"/>
          <w:sz w:val="24"/>
          <w:szCs w:val="24"/>
          <w:lang w:val="en-US"/>
        </w:rPr>
        <w:footnoteReference w:id="49"/>
      </w:r>
    </w:p>
    <w:p w14:paraId="095DD9E1" w14:textId="3623634B" w:rsidR="00252A51" w:rsidRPr="00212218" w:rsidRDefault="00252A51" w:rsidP="00A37FC2">
      <w:pPr>
        <w:pStyle w:val="Normalweb"/>
        <w:spacing w:before="0" w:beforeAutospacing="0" w:after="0" w:afterAutospacing="0" w:line="240" w:lineRule="auto"/>
        <w:jc w:val="both"/>
        <w:rPr>
          <w:rFonts w:ascii="Garamond" w:hAnsi="Garamond"/>
          <w:sz w:val="24"/>
          <w:szCs w:val="24"/>
          <w:lang w:val="en-US"/>
        </w:rPr>
      </w:pPr>
      <w:r w:rsidRPr="00212218">
        <w:rPr>
          <w:rFonts w:ascii="Garamond" w:hAnsi="Garamond"/>
          <w:sz w:val="24"/>
          <w:szCs w:val="24"/>
          <w:lang w:val="en-US"/>
        </w:rPr>
        <w:t>This was a grand call to public participation in the political process informed by access to government</w:t>
      </w:r>
      <w:r w:rsidR="009A13B4">
        <w:rPr>
          <w:rFonts w:ascii="Garamond" w:hAnsi="Garamond"/>
          <w:sz w:val="24"/>
          <w:szCs w:val="24"/>
          <w:lang w:val="en-US"/>
        </w:rPr>
        <w:t>-</w:t>
      </w:r>
      <w:r w:rsidRPr="00212218">
        <w:rPr>
          <w:rFonts w:ascii="Garamond" w:hAnsi="Garamond"/>
          <w:sz w:val="24"/>
          <w:szCs w:val="24"/>
          <w:lang w:val="en-US"/>
        </w:rPr>
        <w:t>held information. The philosophy extended beyond official accountability for past actions to active public involvement in decision-making processes:</w:t>
      </w:r>
    </w:p>
    <w:p w14:paraId="4E5B8838" w14:textId="70C6FE38" w:rsidR="00252A51" w:rsidRPr="00A37FC2" w:rsidRDefault="00252A51" w:rsidP="009A13B4">
      <w:pPr>
        <w:pStyle w:val="Normalweb"/>
        <w:spacing w:before="0" w:beforeAutospacing="0" w:after="0" w:afterAutospacing="0" w:line="240" w:lineRule="auto"/>
        <w:ind w:left="567"/>
        <w:jc w:val="both"/>
        <w:rPr>
          <w:rFonts w:ascii="Garamond" w:hAnsi="Garamond"/>
          <w:spacing w:val="-4"/>
          <w:sz w:val="24"/>
          <w:szCs w:val="24"/>
          <w:lang w:val="en-US"/>
        </w:rPr>
      </w:pPr>
      <w:r w:rsidRPr="00A37FC2">
        <w:rPr>
          <w:rFonts w:ascii="Garamond" w:hAnsi="Garamond"/>
          <w:spacing w:val="-4"/>
          <w:sz w:val="24"/>
          <w:szCs w:val="24"/>
          <w:lang w:val="en-US"/>
        </w:rPr>
        <w:t>“The greater the extent of open government, the more effective is the opportunity for participation by individuals, groups and the community generally in important political decisions before they are made and for public understanding and acceptance of decisions after they have been taken. Public debate on issues and policies and substantial community participation in the processes of policy-making and government itself, establish essential dialogue between government and those affected by its decisions.”</w:t>
      </w:r>
      <w:r w:rsidRPr="00A37FC2">
        <w:rPr>
          <w:rStyle w:val="Appelnotedebasdep"/>
          <w:rFonts w:ascii="Garamond" w:hAnsi="Garamond"/>
          <w:spacing w:val="-4"/>
          <w:sz w:val="24"/>
          <w:szCs w:val="24"/>
          <w:lang w:val="en-US"/>
        </w:rPr>
        <w:footnoteReference w:id="50"/>
      </w:r>
      <w:r w:rsidRPr="00A37FC2">
        <w:rPr>
          <w:rFonts w:ascii="Garamond" w:hAnsi="Garamond"/>
          <w:spacing w:val="-4"/>
          <w:sz w:val="24"/>
          <w:szCs w:val="24"/>
          <w:lang w:val="en-US"/>
        </w:rPr>
        <w:t xml:space="preserve"> </w:t>
      </w:r>
    </w:p>
    <w:p w14:paraId="2AC0C530" w14:textId="10FEF481" w:rsidR="00252A51" w:rsidRPr="00975542" w:rsidRDefault="00252A51" w:rsidP="00A37FC2">
      <w:pPr>
        <w:pStyle w:val="Normalweb"/>
        <w:spacing w:before="0" w:beforeAutospacing="0" w:after="0" w:afterAutospacing="0" w:line="240" w:lineRule="auto"/>
        <w:jc w:val="both"/>
        <w:rPr>
          <w:rFonts w:ascii="Garamond" w:hAnsi="Garamond"/>
          <w:sz w:val="24"/>
          <w:szCs w:val="24"/>
          <w:lang w:val="en-US"/>
        </w:rPr>
      </w:pPr>
      <w:r w:rsidRPr="00212218">
        <w:rPr>
          <w:rFonts w:ascii="Garamond" w:hAnsi="Garamond"/>
          <w:sz w:val="24"/>
          <w:szCs w:val="24"/>
          <w:lang w:val="en-US"/>
        </w:rPr>
        <w:t>However, these calls for open and inclusive democratic processes were constrained by references to “the need for confidentiality in the innermost workings of government”.</w:t>
      </w:r>
      <w:r w:rsidRPr="00212218">
        <w:rPr>
          <w:rStyle w:val="Appelnotedebasdep"/>
          <w:rFonts w:ascii="Garamond" w:hAnsi="Garamond"/>
          <w:sz w:val="24"/>
          <w:szCs w:val="24"/>
          <w:lang w:val="en-US"/>
        </w:rPr>
        <w:footnoteReference w:id="51"/>
      </w:r>
      <w:r w:rsidRPr="00212218">
        <w:rPr>
          <w:rFonts w:ascii="Garamond" w:hAnsi="Garamond"/>
          <w:sz w:val="24"/>
          <w:szCs w:val="24"/>
          <w:lang w:val="en-US"/>
        </w:rPr>
        <w:t xml:space="preserve"> These were mixed messages. </w:t>
      </w:r>
      <w:r w:rsidR="00975542">
        <w:rPr>
          <w:rFonts w:ascii="Garamond" w:hAnsi="Garamond"/>
          <w:sz w:val="24"/>
          <w:szCs w:val="24"/>
          <w:lang w:val="en-US"/>
        </w:rPr>
        <w:br/>
      </w:r>
      <w:r w:rsidRPr="00212218">
        <w:rPr>
          <w:rFonts w:ascii="Garamond" w:hAnsi="Garamond"/>
          <w:sz w:val="24"/>
          <w:szCs w:val="24"/>
          <w:lang w:val="en-US"/>
        </w:rPr>
        <w:t>In 1987, the Senate Standing Committee on Legal and Constitutional Affairs</w:t>
      </w:r>
      <w:r w:rsidRPr="00212218">
        <w:rPr>
          <w:rStyle w:val="Appelnotedebasdep"/>
          <w:rFonts w:ascii="Garamond" w:hAnsi="Garamond"/>
          <w:sz w:val="24"/>
          <w:szCs w:val="24"/>
          <w:lang w:val="en-US"/>
        </w:rPr>
        <w:footnoteReference w:id="52"/>
      </w:r>
      <w:r w:rsidRPr="00212218">
        <w:rPr>
          <w:rFonts w:ascii="Garamond" w:hAnsi="Garamond"/>
          <w:sz w:val="24"/>
          <w:szCs w:val="24"/>
          <w:lang w:val="en-US"/>
        </w:rPr>
        <w:t xml:space="preserve"> reviewed the operation of the 1982 Australian Federal FOI Act.</w:t>
      </w:r>
      <w:r w:rsidRPr="00212218">
        <w:rPr>
          <w:rStyle w:val="Appelnotedebasdep"/>
          <w:rFonts w:ascii="Garamond" w:hAnsi="Garamond"/>
          <w:sz w:val="24"/>
          <w:szCs w:val="24"/>
          <w:lang w:val="en-US"/>
        </w:rPr>
        <w:footnoteReference w:id="53"/>
      </w:r>
      <w:r w:rsidRPr="00212218">
        <w:rPr>
          <w:rFonts w:ascii="Garamond" w:hAnsi="Garamond"/>
          <w:sz w:val="24"/>
          <w:szCs w:val="24"/>
          <w:lang w:val="en-US"/>
        </w:rPr>
        <w:t xml:space="preserve"> The Standing Committee found widespread support for the FOI and its objectives, but confusion over exactly what that meant when it came to implementation.</w:t>
      </w:r>
      <w:r w:rsidRPr="00212218">
        <w:rPr>
          <w:rFonts w:ascii="Garamond" w:hAnsi="Garamond"/>
          <w:sz w:val="24"/>
          <w:szCs w:val="24"/>
        </w:rPr>
        <w:t>‬</w:t>
      </w:r>
      <w:r w:rsidRPr="00212218">
        <w:rPr>
          <w:rFonts w:ascii="Garamond" w:hAnsi="Garamond"/>
          <w:sz w:val="24"/>
          <w:szCs w:val="24"/>
        </w:rPr>
        <w:t>‬</w:t>
      </w:r>
      <w:r w:rsidRPr="00212218">
        <w:rPr>
          <w:rFonts w:ascii="Garamond" w:hAnsi="Garamond"/>
          <w:sz w:val="24"/>
          <w:szCs w:val="24"/>
        </w:rPr>
        <w:t>‬</w:t>
      </w:r>
    </w:p>
    <w:p w14:paraId="40598413" w14:textId="2F5B23BE" w:rsidR="00252A51" w:rsidRPr="00212218" w:rsidRDefault="00252A51" w:rsidP="009A13B4">
      <w:pPr>
        <w:pStyle w:val="Normalweb"/>
        <w:spacing w:before="0" w:beforeAutospacing="0" w:after="0" w:afterAutospacing="0" w:line="240" w:lineRule="auto"/>
        <w:ind w:left="567"/>
        <w:jc w:val="both"/>
        <w:rPr>
          <w:rFonts w:ascii="Garamond" w:eastAsiaTheme="minorHAnsi" w:hAnsi="Garamond"/>
          <w:sz w:val="24"/>
          <w:szCs w:val="24"/>
        </w:rPr>
      </w:pPr>
      <w:r w:rsidRPr="00212218">
        <w:rPr>
          <w:rFonts w:ascii="Garamond" w:eastAsiaTheme="minorHAnsi" w:hAnsi="Garamond"/>
          <w:sz w:val="24"/>
          <w:szCs w:val="24"/>
        </w:rPr>
        <w:t xml:space="preserve">“The inquiry revealed that there is widespread support for the FOI Act, and little criticism of its object to make available information about the operation of, and in the possession of, the Commonwealth Government, and to increase Government </w:t>
      </w:r>
      <w:r w:rsidRPr="00212218">
        <w:rPr>
          <w:rFonts w:ascii="Garamond" w:eastAsiaTheme="minorHAnsi" w:hAnsi="Garamond"/>
          <w:i/>
          <w:sz w:val="24"/>
          <w:szCs w:val="24"/>
        </w:rPr>
        <w:t>accountability and public participation</w:t>
      </w:r>
      <w:r w:rsidRPr="00212218">
        <w:rPr>
          <w:rFonts w:ascii="Garamond" w:eastAsiaTheme="minorHAnsi" w:hAnsi="Garamond"/>
          <w:sz w:val="24"/>
          <w:szCs w:val="24"/>
        </w:rPr>
        <w:t xml:space="preserve"> in the process of government. However, there is some lack of agreement over the degree to which this object has been achieved. This controversy is exacerbated by the lack of </w:t>
      </w:r>
      <w:r w:rsidRPr="00212218">
        <w:rPr>
          <w:rFonts w:ascii="Garamond" w:eastAsiaTheme="minorHAnsi" w:hAnsi="Garamond"/>
          <w:sz w:val="24"/>
          <w:szCs w:val="24"/>
        </w:rPr>
        <w:lastRenderedPageBreak/>
        <w:t>agreement as to the extent to which information in the possession of the Government about its operations should, in principle, be made available to the community at large.”</w:t>
      </w:r>
      <w:r w:rsidRPr="00212218">
        <w:rPr>
          <w:rStyle w:val="Appelnotedebasdep"/>
          <w:rFonts w:ascii="Garamond" w:eastAsiaTheme="minorHAnsi" w:hAnsi="Garamond"/>
          <w:sz w:val="24"/>
          <w:szCs w:val="24"/>
        </w:rPr>
        <w:footnoteReference w:id="54"/>
      </w:r>
    </w:p>
    <w:p w14:paraId="061B72DE" w14:textId="77777777" w:rsidR="00252A51" w:rsidRPr="00212218" w:rsidRDefault="00252A51" w:rsidP="00A37FC2">
      <w:pPr>
        <w:pStyle w:val="Normalweb"/>
        <w:spacing w:before="0" w:beforeAutospacing="0" w:after="0" w:afterAutospacing="0" w:line="240" w:lineRule="auto"/>
        <w:jc w:val="both"/>
        <w:rPr>
          <w:rFonts w:ascii="Garamond" w:eastAsiaTheme="minorHAnsi" w:hAnsi="Garamond"/>
          <w:sz w:val="24"/>
          <w:szCs w:val="24"/>
        </w:rPr>
      </w:pPr>
      <w:r w:rsidRPr="00212218">
        <w:rPr>
          <w:rFonts w:ascii="Garamond" w:hAnsi="Garamond"/>
          <w:sz w:val="24"/>
          <w:szCs w:val="24"/>
          <w:lang w:val="en-US"/>
        </w:rPr>
        <w:t xml:space="preserve">In the 1995 review of the Federal FOI Act by the Australian Law Reform Commission (ALRC) and Administrative Review Council (ARC) the review bodies expressed concern that the </w:t>
      </w:r>
      <w:r w:rsidRPr="00212218">
        <w:rPr>
          <w:rFonts w:ascii="Garamond" w:eastAsiaTheme="minorHAnsi" w:hAnsi="Garamond"/>
          <w:sz w:val="24"/>
          <w:szCs w:val="24"/>
        </w:rPr>
        <w:t>object clause in the Act was equivocal. T</w:t>
      </w:r>
      <w:r w:rsidRPr="00212218">
        <w:rPr>
          <w:rFonts w:ascii="Garamond" w:hAnsi="Garamond"/>
          <w:sz w:val="24"/>
          <w:szCs w:val="24"/>
          <w:lang w:val="en-US"/>
        </w:rPr>
        <w:t xml:space="preserve">he </w:t>
      </w:r>
      <w:r w:rsidRPr="00212218">
        <w:rPr>
          <w:rFonts w:ascii="Garamond" w:eastAsiaTheme="minorHAnsi" w:hAnsi="Garamond"/>
          <w:sz w:val="24"/>
          <w:szCs w:val="24"/>
        </w:rPr>
        <w:t>right of access to documents could be seen as an end in itself, rather than as a mechanism for implementing broader open government principles. Indeed, a narrow reading of the purposes of the legislation could lead to a narrow interpretation of the access right.</w:t>
      </w:r>
      <w:r w:rsidRPr="00212218">
        <w:rPr>
          <w:rStyle w:val="Appelnotedebasdep"/>
          <w:rFonts w:ascii="Garamond" w:hAnsi="Garamond"/>
          <w:sz w:val="24"/>
          <w:szCs w:val="24"/>
          <w:lang w:val="en-US"/>
        </w:rPr>
        <w:t xml:space="preserve"> </w:t>
      </w:r>
      <w:r w:rsidRPr="00212218">
        <w:rPr>
          <w:rStyle w:val="Appelnotedebasdep"/>
          <w:rFonts w:ascii="Garamond" w:hAnsi="Garamond"/>
          <w:sz w:val="24"/>
          <w:szCs w:val="24"/>
          <w:lang w:val="en-US"/>
        </w:rPr>
        <w:footnoteReference w:id="55"/>
      </w:r>
      <w:r w:rsidRPr="00212218">
        <w:rPr>
          <w:rFonts w:ascii="Garamond" w:hAnsi="Garamond"/>
          <w:sz w:val="24"/>
          <w:szCs w:val="24"/>
          <w:lang w:val="en-US"/>
        </w:rPr>
        <w:t xml:space="preserve"> The review concluded that the object clause should </w:t>
      </w:r>
      <w:r w:rsidRPr="00212218">
        <w:rPr>
          <w:rFonts w:ascii="Garamond" w:eastAsiaTheme="minorHAnsi" w:hAnsi="Garamond"/>
          <w:sz w:val="24"/>
          <w:szCs w:val="24"/>
        </w:rPr>
        <w:t>make clear the underlying rationales for the Act included the following goals to:</w:t>
      </w:r>
      <w:r w:rsidRPr="00212218">
        <w:rPr>
          <w:rStyle w:val="Appelnotedebasdep"/>
          <w:rFonts w:ascii="Garamond" w:eastAsiaTheme="minorHAnsi" w:hAnsi="Garamond"/>
          <w:sz w:val="24"/>
          <w:szCs w:val="24"/>
        </w:rPr>
        <w:footnoteReference w:id="56"/>
      </w:r>
      <w:r w:rsidRPr="00212218">
        <w:rPr>
          <w:rFonts w:ascii="Garamond" w:eastAsiaTheme="minorHAnsi" w:hAnsi="Garamond"/>
          <w:sz w:val="24"/>
          <w:szCs w:val="24"/>
        </w:rPr>
        <w:t xml:space="preserve"> </w:t>
      </w:r>
    </w:p>
    <w:p w14:paraId="66126AE4" w14:textId="1E1B2AEF" w:rsidR="00252A51" w:rsidRPr="00212218" w:rsidRDefault="00A37FC2" w:rsidP="009A13B4">
      <w:pPr>
        <w:ind w:left="567"/>
        <w:rPr>
          <w:rFonts w:ascii="Garamond" w:hAnsi="Garamond" w:cs="Times New Roman"/>
          <w:lang w:val="en-AU"/>
        </w:rPr>
      </w:pPr>
      <w:r>
        <w:rPr>
          <w:rFonts w:ascii="Garamond" w:hAnsi="Garamond" w:cs="Times New Roman"/>
          <w:lang w:val="en-US"/>
        </w:rPr>
        <w:t xml:space="preserve">– </w:t>
      </w:r>
      <w:r w:rsidR="00252A51" w:rsidRPr="00212218">
        <w:rPr>
          <w:rFonts w:ascii="Garamond" w:hAnsi="Garamond" w:cs="Times New Roman"/>
          <w:lang w:val="en-AU"/>
        </w:rPr>
        <w:t>“enable people to participate in the policy, accountability and decision</w:t>
      </w:r>
      <w:r w:rsidR="009A13B4">
        <w:rPr>
          <w:rFonts w:ascii="Garamond" w:hAnsi="Garamond" w:cs="Times New Roman"/>
          <w:lang w:val="en-AU"/>
        </w:rPr>
        <w:t>-</w:t>
      </w:r>
      <w:r w:rsidR="00252A51" w:rsidRPr="00212218">
        <w:rPr>
          <w:rFonts w:ascii="Garamond" w:hAnsi="Garamond" w:cs="Times New Roman"/>
          <w:lang w:val="en-AU"/>
        </w:rPr>
        <w:t xml:space="preserve">making processes of government </w:t>
      </w:r>
    </w:p>
    <w:p w14:paraId="6B9B882A" w14:textId="55030169" w:rsidR="00252A51" w:rsidRPr="00212218" w:rsidRDefault="00A37FC2" w:rsidP="009A13B4">
      <w:pPr>
        <w:ind w:left="567"/>
        <w:rPr>
          <w:rFonts w:ascii="Garamond" w:hAnsi="Garamond" w:cs="Times New Roman"/>
          <w:lang w:val="en-AU"/>
        </w:rPr>
      </w:pPr>
      <w:r>
        <w:rPr>
          <w:rFonts w:ascii="Garamond" w:hAnsi="Garamond" w:cs="Times New Roman"/>
          <w:lang w:val="en-US"/>
        </w:rPr>
        <w:t xml:space="preserve">– </w:t>
      </w:r>
      <w:r w:rsidR="00252A51" w:rsidRPr="00212218">
        <w:rPr>
          <w:rFonts w:ascii="Garamond" w:hAnsi="Garamond" w:cs="Times New Roman"/>
          <w:lang w:val="en-AU"/>
        </w:rPr>
        <w:t>open the government</w:t>
      </w:r>
      <w:r w:rsidR="00410194">
        <w:rPr>
          <w:rFonts w:ascii="Garamond" w:hAnsi="Garamond" w:cs="Times New Roman"/>
          <w:lang w:val="en-AU"/>
        </w:rPr>
        <w:t>’</w:t>
      </w:r>
      <w:r w:rsidR="00252A51" w:rsidRPr="00212218">
        <w:rPr>
          <w:rFonts w:ascii="Garamond" w:hAnsi="Garamond" w:cs="Times New Roman"/>
          <w:lang w:val="en-AU"/>
        </w:rPr>
        <w:t xml:space="preserve">s activities to scrutiny, discussion, comment and review </w:t>
      </w:r>
    </w:p>
    <w:p w14:paraId="48C39D35" w14:textId="02F736CD" w:rsidR="00252A51" w:rsidRPr="00212218" w:rsidRDefault="00A37FC2" w:rsidP="009A13B4">
      <w:pPr>
        <w:ind w:left="567"/>
        <w:rPr>
          <w:rFonts w:ascii="Garamond" w:hAnsi="Garamond" w:cs="Times New Roman"/>
          <w:lang w:val="en-AU"/>
        </w:rPr>
      </w:pPr>
      <w:r>
        <w:rPr>
          <w:rFonts w:ascii="Garamond" w:hAnsi="Garamond" w:cs="Times New Roman"/>
          <w:lang w:val="en-US"/>
        </w:rPr>
        <w:t xml:space="preserve">– </w:t>
      </w:r>
      <w:r w:rsidR="00252A51" w:rsidRPr="00212218">
        <w:rPr>
          <w:rFonts w:ascii="Garamond" w:hAnsi="Garamond" w:cs="Times New Roman"/>
          <w:lang w:val="en-AU"/>
        </w:rPr>
        <w:t>increase the accountability of the Executive.”</w:t>
      </w:r>
      <w:r w:rsidR="00252A51" w:rsidRPr="00212218">
        <w:rPr>
          <w:rStyle w:val="Appelnotedebasdep"/>
          <w:rFonts w:ascii="Garamond" w:hAnsi="Garamond" w:cs="Times New Roman"/>
        </w:rPr>
        <w:footnoteReference w:id="57"/>
      </w:r>
    </w:p>
    <w:p w14:paraId="1372CE1A" w14:textId="77777777" w:rsidR="00252A51" w:rsidRPr="00212218" w:rsidRDefault="00252A51" w:rsidP="00A37FC2">
      <w:pPr>
        <w:pStyle w:val="Normalweb"/>
        <w:spacing w:before="0" w:beforeAutospacing="0" w:after="0" w:afterAutospacing="0" w:line="240" w:lineRule="auto"/>
        <w:jc w:val="both"/>
        <w:rPr>
          <w:rFonts w:ascii="Garamond" w:eastAsiaTheme="minorHAnsi" w:hAnsi="Garamond"/>
          <w:sz w:val="24"/>
          <w:szCs w:val="24"/>
        </w:rPr>
      </w:pPr>
      <w:r w:rsidRPr="00212218">
        <w:rPr>
          <w:rFonts w:ascii="Garamond" w:eastAsiaTheme="minorHAnsi" w:hAnsi="Garamond"/>
          <w:sz w:val="24"/>
          <w:szCs w:val="24"/>
        </w:rPr>
        <w:t>It took some time to implement the recommendations of the Open Government Review,</w:t>
      </w:r>
      <w:r w:rsidRPr="00212218">
        <w:rPr>
          <w:rStyle w:val="Appelnotedebasdep"/>
          <w:rFonts w:ascii="Garamond" w:hAnsi="Garamond"/>
          <w:sz w:val="24"/>
          <w:szCs w:val="24"/>
          <w:lang w:val="en-US"/>
        </w:rPr>
        <w:t xml:space="preserve"> </w:t>
      </w:r>
      <w:r w:rsidRPr="00212218">
        <w:rPr>
          <w:rStyle w:val="Appelnotedebasdep"/>
          <w:rFonts w:ascii="Garamond" w:hAnsi="Garamond"/>
          <w:sz w:val="24"/>
          <w:szCs w:val="24"/>
          <w:lang w:val="en-US"/>
        </w:rPr>
        <w:footnoteReference w:id="58"/>
      </w:r>
      <w:r w:rsidRPr="00212218">
        <w:rPr>
          <w:rFonts w:ascii="Garamond" w:hAnsi="Garamond"/>
          <w:sz w:val="24"/>
          <w:szCs w:val="24"/>
          <w:lang w:val="en-US"/>
        </w:rPr>
        <w:t xml:space="preserve"> </w:t>
      </w:r>
      <w:r w:rsidRPr="00212218">
        <w:rPr>
          <w:rFonts w:ascii="Garamond" w:eastAsiaTheme="minorHAnsi" w:hAnsi="Garamond"/>
          <w:sz w:val="24"/>
          <w:szCs w:val="24"/>
        </w:rPr>
        <w:t>but in 2010</w:t>
      </w:r>
      <w:r w:rsidRPr="00212218">
        <w:rPr>
          <w:rStyle w:val="Appelnotedebasdep"/>
          <w:rFonts w:ascii="Garamond" w:eastAsiaTheme="minorHAnsi" w:hAnsi="Garamond"/>
          <w:sz w:val="24"/>
          <w:szCs w:val="24"/>
        </w:rPr>
        <w:footnoteReference w:id="59"/>
      </w:r>
      <w:r w:rsidRPr="00212218">
        <w:rPr>
          <w:rFonts w:ascii="Garamond" w:eastAsiaTheme="minorHAnsi" w:hAnsi="Garamond"/>
          <w:sz w:val="24"/>
          <w:szCs w:val="24"/>
        </w:rPr>
        <w:t xml:space="preserve"> the object clause was amended to remove all references to limitations on the right of access.</w:t>
      </w:r>
      <w:r w:rsidRPr="00212218">
        <w:rPr>
          <w:rStyle w:val="Appelnotedebasdep"/>
          <w:rFonts w:ascii="Garamond" w:hAnsi="Garamond"/>
          <w:sz w:val="24"/>
          <w:szCs w:val="24"/>
          <w:lang w:val="en-US"/>
        </w:rPr>
        <w:footnoteReference w:id="60"/>
      </w:r>
      <w:r w:rsidRPr="00212218">
        <w:rPr>
          <w:rFonts w:ascii="Garamond" w:eastAsiaTheme="minorHAnsi" w:hAnsi="Garamond"/>
          <w:sz w:val="24"/>
          <w:szCs w:val="24"/>
        </w:rPr>
        <w:t xml:space="preserve"> </w:t>
      </w:r>
      <w:r w:rsidRPr="00212218">
        <w:rPr>
          <w:rFonts w:ascii="Garamond" w:hAnsi="Garamond"/>
          <w:sz w:val="24"/>
          <w:szCs w:val="24"/>
          <w:lang w:val="en-US"/>
        </w:rPr>
        <w:t>The following subsection was introduced:</w:t>
      </w:r>
    </w:p>
    <w:p w14:paraId="278852D6" w14:textId="409CBB5B" w:rsidR="00A37FC2" w:rsidRPr="00A37FC2" w:rsidRDefault="00A37FC2" w:rsidP="009A13B4">
      <w:pPr>
        <w:widowControl w:val="0"/>
        <w:autoSpaceDE w:val="0"/>
        <w:autoSpaceDN w:val="0"/>
        <w:adjustRightInd w:val="0"/>
        <w:ind w:left="567"/>
        <w:rPr>
          <w:rFonts w:ascii="Garamond" w:hAnsi="Garamond" w:cs="Times New Roman"/>
          <w:spacing w:val="-4"/>
          <w:lang w:val="en-US"/>
        </w:rPr>
      </w:pPr>
      <w:r w:rsidRPr="00A37FC2">
        <w:rPr>
          <w:rFonts w:ascii="Garamond" w:hAnsi="Garamond" w:cs="Times New Roman"/>
          <w:spacing w:val="-4"/>
          <w:lang w:val="en-US"/>
        </w:rPr>
        <w:t>“s. 3 (2)</w:t>
      </w:r>
      <w:r w:rsidR="00252A51" w:rsidRPr="00A37FC2">
        <w:rPr>
          <w:rFonts w:ascii="Garamond" w:hAnsi="Garamond" w:cs="Times New Roman"/>
          <w:spacing w:val="-4"/>
          <w:lang w:val="en-US"/>
        </w:rPr>
        <w:t xml:space="preserve"> The Parliament intends, by these objects, to promote Australia’s representative democracy by contributing towards the following:</w:t>
      </w:r>
    </w:p>
    <w:p w14:paraId="56387012" w14:textId="77777777" w:rsidR="00A37FC2" w:rsidRDefault="00A37FC2" w:rsidP="009A13B4">
      <w:pPr>
        <w:widowControl w:val="0"/>
        <w:autoSpaceDE w:val="0"/>
        <w:autoSpaceDN w:val="0"/>
        <w:adjustRightInd w:val="0"/>
        <w:ind w:left="567"/>
        <w:rPr>
          <w:rFonts w:ascii="Garamond" w:hAnsi="Garamond" w:cs="Times New Roman"/>
          <w:spacing w:val="-4"/>
          <w:lang w:val="en-US"/>
        </w:rPr>
      </w:pPr>
      <w:r w:rsidRPr="00A37FC2">
        <w:rPr>
          <w:rFonts w:ascii="Garamond" w:hAnsi="Garamond" w:cs="Times New Roman"/>
          <w:spacing w:val="-4"/>
          <w:lang w:val="en-US"/>
        </w:rPr>
        <w:t>(a) </w:t>
      </w:r>
      <w:r w:rsidR="00252A51" w:rsidRPr="00A37FC2">
        <w:rPr>
          <w:rFonts w:ascii="Garamond" w:hAnsi="Garamond" w:cs="Times New Roman"/>
          <w:spacing w:val="-4"/>
          <w:lang w:val="en-US"/>
        </w:rPr>
        <w:t>increasing public participation in Government processes, with a view to promoting better-informed decision-making;</w:t>
      </w:r>
    </w:p>
    <w:p w14:paraId="550D0FD9" w14:textId="0F269540" w:rsidR="00252A51" w:rsidRPr="00A37FC2" w:rsidRDefault="00252A51" w:rsidP="009A13B4">
      <w:pPr>
        <w:widowControl w:val="0"/>
        <w:autoSpaceDE w:val="0"/>
        <w:autoSpaceDN w:val="0"/>
        <w:adjustRightInd w:val="0"/>
        <w:ind w:left="567"/>
        <w:rPr>
          <w:rFonts w:ascii="Garamond" w:hAnsi="Garamond" w:cs="Times New Roman"/>
          <w:spacing w:val="-4"/>
          <w:lang w:val="en-US"/>
        </w:rPr>
      </w:pPr>
      <w:r w:rsidRPr="00212218">
        <w:rPr>
          <w:rFonts w:ascii="Garamond" w:hAnsi="Garamond" w:cs="Times New Roman"/>
          <w:lang w:val="en-US"/>
        </w:rPr>
        <w:t>(b) increasing scrutiny, discussion, comment and review of the Government’s activities.”</w:t>
      </w:r>
      <w:r w:rsidRPr="00212218">
        <w:rPr>
          <w:rStyle w:val="Appelnotedebasdep"/>
          <w:rFonts w:ascii="Garamond" w:hAnsi="Garamond" w:cs="Times New Roman"/>
          <w:lang w:val="en-US"/>
        </w:rPr>
        <w:footnoteReference w:id="61"/>
      </w:r>
    </w:p>
    <w:p w14:paraId="452CAB3D" w14:textId="45F9C10F" w:rsidR="00252A51" w:rsidRPr="00212218" w:rsidRDefault="00252A51" w:rsidP="00212218">
      <w:pPr>
        <w:spacing w:after="240"/>
        <w:rPr>
          <w:rFonts w:ascii="Garamond" w:hAnsi="Garamond" w:cs="Times New Roman"/>
          <w:lang w:val="en-AU"/>
        </w:rPr>
      </w:pPr>
      <w:r w:rsidRPr="00212218">
        <w:rPr>
          <w:rFonts w:ascii="Garamond" w:hAnsi="Garamond" w:cs="Times New Roman"/>
          <w:lang w:val="en-US"/>
        </w:rPr>
        <w:t xml:space="preserve">The intention is clear that access to government information is granted in order to facilitate public scrutiny of government activity. There is, however, a subtle difference in the wording in relation to public participation. In the </w:t>
      </w:r>
      <w:r w:rsidRPr="003F6A60">
        <w:rPr>
          <w:rFonts w:ascii="Garamond" w:hAnsi="Garamond" w:cs="Times New Roman"/>
          <w:lang w:val="en-US"/>
        </w:rPr>
        <w:t>Open Government Review</w:t>
      </w:r>
      <w:r w:rsidRPr="00212218">
        <w:rPr>
          <w:rFonts w:ascii="Garamond" w:hAnsi="Garamond" w:cs="Times New Roman"/>
          <w:lang w:val="en-US"/>
        </w:rPr>
        <w:t xml:space="preserve"> the ALRC/ARC envisaged that public participation would extend to the </w:t>
      </w:r>
      <w:r w:rsidRPr="00212218">
        <w:rPr>
          <w:rFonts w:ascii="Garamond" w:hAnsi="Garamond" w:cs="Times New Roman"/>
          <w:lang w:val="en-AU"/>
        </w:rPr>
        <w:t>decision-making processes of government.</w:t>
      </w:r>
      <w:r w:rsidRPr="00212218">
        <w:rPr>
          <w:rStyle w:val="Appelnotedebasdep"/>
          <w:rFonts w:ascii="Garamond" w:hAnsi="Garamond" w:cs="Times New Roman"/>
          <w:lang w:val="en-US"/>
        </w:rPr>
        <w:t xml:space="preserve"> </w:t>
      </w:r>
      <w:r w:rsidRPr="00212218">
        <w:rPr>
          <w:rStyle w:val="Appelnotedebasdep"/>
          <w:rFonts w:ascii="Garamond" w:hAnsi="Garamond" w:cs="Times New Roman"/>
          <w:lang w:val="en-US"/>
        </w:rPr>
        <w:footnoteReference w:id="62"/>
      </w:r>
      <w:r w:rsidRPr="00212218">
        <w:rPr>
          <w:rFonts w:ascii="Garamond" w:hAnsi="Garamond" w:cs="Times New Roman"/>
          <w:lang w:val="en-AU"/>
        </w:rPr>
        <w:t xml:space="preserve"> The words of the </w:t>
      </w:r>
      <w:r w:rsidRPr="009A13B4">
        <w:rPr>
          <w:rFonts w:ascii="Garamond" w:hAnsi="Garamond" w:cs="Times New Roman"/>
          <w:spacing w:val="-4"/>
          <w:lang w:val="en-AU"/>
        </w:rPr>
        <w:lastRenderedPageBreak/>
        <w:t>reformed object clause anticipate public participation in government processes “with a view to promoting better-informed decision-making”. This approach suggests a flow of information to government decision-makers from the public, but does not necessarily increase public involvement in the decision-making process itself. This raises the question – what is meant by “public participation” when proffered as a rationale for freedom of information?</w:t>
      </w:r>
    </w:p>
    <w:p w14:paraId="25515BF5" w14:textId="395C1CF5" w:rsidR="00252A51" w:rsidRPr="007C456C" w:rsidRDefault="00212218" w:rsidP="00212218">
      <w:pPr>
        <w:pStyle w:val="Titre1"/>
        <w:rPr>
          <w:lang w:val="en-US"/>
        </w:rPr>
      </w:pPr>
      <w:bookmarkStart w:id="20" w:name="_Toc287266213"/>
      <w:bookmarkStart w:id="21" w:name="_Toc289002245"/>
      <w:r w:rsidRPr="007C456C">
        <w:rPr>
          <w:rFonts w:cs="Times New Roman"/>
          <w:lang w:val="en-US"/>
        </w:rPr>
        <w:t>§</w:t>
      </w:r>
      <w:r w:rsidR="00410194">
        <w:rPr>
          <w:rFonts w:cs="Times New Roman"/>
          <w:lang w:val="en-US"/>
        </w:rPr>
        <w:t> </w:t>
      </w:r>
      <w:r w:rsidRPr="007C456C">
        <w:rPr>
          <w:rFonts w:cs="Times New Roman"/>
          <w:lang w:val="en-US"/>
        </w:rPr>
        <w:t xml:space="preserve">3 – </w:t>
      </w:r>
      <w:r w:rsidR="00252A51" w:rsidRPr="007C456C">
        <w:rPr>
          <w:lang w:val="en-US"/>
        </w:rPr>
        <w:t>Public participation?</w:t>
      </w:r>
      <w:bookmarkEnd w:id="20"/>
      <w:bookmarkEnd w:id="21"/>
    </w:p>
    <w:p w14:paraId="38593262" w14:textId="77777777" w:rsidR="00252A51" w:rsidRPr="003F6A60" w:rsidRDefault="00252A51" w:rsidP="00212218">
      <w:pPr>
        <w:spacing w:after="240"/>
        <w:rPr>
          <w:rFonts w:ascii="Garamond" w:hAnsi="Garamond" w:cs="Times New Roman"/>
          <w:lang w:val="en-US"/>
        </w:rPr>
      </w:pPr>
      <w:r w:rsidRPr="007C456C">
        <w:rPr>
          <w:rFonts w:ascii="Garamond" w:hAnsi="Garamond" w:cs="Times New Roman"/>
          <w:lang w:val="en-US"/>
        </w:rPr>
        <w:t>Public participation may involve various levels of involvement in the democratic process, ranging from public information campaigns, and invitations to supply information to inquiries and forums, to focus groups and “citizens’ juries”, and even full participatory democracy by televoting</w:t>
      </w:r>
      <w:r w:rsidRPr="00212218">
        <w:rPr>
          <w:rStyle w:val="Appelnotedebasdep"/>
          <w:rFonts w:ascii="Garamond" w:hAnsi="Garamond" w:cs="Times New Roman"/>
        </w:rPr>
        <w:footnoteReference w:id="63"/>
      </w:r>
      <w:r w:rsidRPr="007C456C">
        <w:rPr>
          <w:rFonts w:ascii="Garamond" w:hAnsi="Garamond" w:cs="Times New Roman"/>
          <w:lang w:val="en-US"/>
        </w:rPr>
        <w:t xml:space="preserve">. This range of options has been described as a participation continuum. </w:t>
      </w:r>
      <w:r w:rsidRPr="003F6A60">
        <w:rPr>
          <w:rFonts w:ascii="Garamond" w:hAnsi="Garamond" w:cs="Times New Roman"/>
          <w:lang w:val="en-US"/>
        </w:rPr>
        <w:t>Access to information is essential at all levels of this continuum.</w:t>
      </w:r>
    </w:p>
    <w:tbl>
      <w:tblPr>
        <w:tblStyle w:val="Grilledutableau"/>
        <w:tblW w:w="0" w:type="auto"/>
        <w:tblLook w:val="04A0" w:firstRow="1" w:lastRow="0" w:firstColumn="1" w:lastColumn="0" w:noHBand="0" w:noVBand="1"/>
      </w:tblPr>
      <w:tblGrid>
        <w:gridCol w:w="6130"/>
      </w:tblGrid>
      <w:tr w:rsidR="00252A51" w:rsidRPr="00212218" w14:paraId="3984EEED" w14:textId="77777777" w:rsidTr="00847CF2">
        <w:tc>
          <w:tcPr>
            <w:tcW w:w="9242" w:type="dxa"/>
          </w:tcPr>
          <w:p w14:paraId="50EEB144" w14:textId="77777777" w:rsidR="00252A51" w:rsidRPr="00212218" w:rsidRDefault="00252A51" w:rsidP="00212218">
            <w:pPr>
              <w:spacing w:after="240"/>
              <w:ind w:left="1440"/>
              <w:rPr>
                <w:rFonts w:ascii="Garamond" w:hAnsi="Garamond"/>
                <w:sz w:val="24"/>
                <w:szCs w:val="24"/>
              </w:rPr>
            </w:pPr>
            <w:r w:rsidRPr="00212218">
              <w:rPr>
                <w:rFonts w:ascii="Garamond" w:hAnsi="Garamond"/>
                <w:sz w:val="24"/>
                <w:szCs w:val="24"/>
              </w:rPr>
              <w:t xml:space="preserve">minimum participation             </w:t>
            </w:r>
            <w:r w:rsidRPr="00212218">
              <w:rPr>
                <w:rFonts w:ascii="Garamond" w:hAnsi="Garamond"/>
                <w:sz w:val="24"/>
                <w:szCs w:val="24"/>
              </w:rPr>
              <w:tab/>
            </w:r>
            <w:r w:rsidRPr="00212218">
              <w:rPr>
                <w:rFonts w:ascii="Garamond" w:hAnsi="Garamond"/>
                <w:sz w:val="24"/>
                <w:szCs w:val="24"/>
              </w:rPr>
              <w:tab/>
              <w:t xml:space="preserve"> </w:t>
            </w:r>
            <w:r w:rsidRPr="00212218">
              <w:rPr>
                <w:rFonts w:ascii="Garamond" w:hAnsi="Garamond"/>
                <w:sz w:val="24"/>
                <w:szCs w:val="24"/>
              </w:rPr>
              <w:tab/>
              <w:t xml:space="preserve">         maximum participation</w:t>
            </w:r>
          </w:p>
          <w:p w14:paraId="70136B78" w14:textId="77777777" w:rsidR="00252A51" w:rsidRPr="00212218" w:rsidRDefault="00252A51" w:rsidP="00212218">
            <w:pPr>
              <w:spacing w:after="240"/>
              <w:ind w:left="1440"/>
              <w:rPr>
                <w:rFonts w:ascii="Garamond" w:hAnsi="Garamond"/>
                <w:sz w:val="24"/>
                <w:szCs w:val="24"/>
              </w:rPr>
            </w:pPr>
            <w:r w:rsidRPr="00212218">
              <w:rPr>
                <w:rFonts w:ascii="Garamond" w:hAnsi="Garamond"/>
                <w:sz w:val="24"/>
                <w:szCs w:val="24"/>
              </w:rPr>
              <w:t>--------------------------------------------------------</w:t>
            </w:r>
            <w:r w:rsidRPr="00212218">
              <w:rPr>
                <w:rFonts w:ascii="Garamond" w:hAnsi="Garamond"/>
                <w:sz w:val="24"/>
                <w:szCs w:val="24"/>
              </w:rPr>
              <w:t></w:t>
            </w:r>
          </w:p>
          <w:p w14:paraId="340EDEC5" w14:textId="77777777" w:rsidR="00252A51" w:rsidRPr="00212218" w:rsidRDefault="00252A51" w:rsidP="00212218">
            <w:pPr>
              <w:spacing w:after="240"/>
              <w:ind w:left="1440"/>
              <w:rPr>
                <w:rFonts w:ascii="Garamond" w:hAnsi="Garamond"/>
                <w:sz w:val="24"/>
                <w:szCs w:val="24"/>
              </w:rPr>
            </w:pPr>
            <w:r w:rsidRPr="00212218">
              <w:rPr>
                <w:rFonts w:ascii="Garamond" w:hAnsi="Garamond"/>
                <w:sz w:val="24"/>
                <w:szCs w:val="24"/>
              </w:rPr>
              <w:t>information</w:t>
            </w:r>
            <w:r w:rsidRPr="00212218">
              <w:rPr>
                <w:rFonts w:ascii="Garamond" w:hAnsi="Garamond"/>
                <w:sz w:val="24"/>
                <w:szCs w:val="24"/>
              </w:rPr>
              <w:tab/>
              <w:t>consultation</w:t>
            </w:r>
            <w:r w:rsidRPr="00212218">
              <w:rPr>
                <w:rFonts w:ascii="Garamond" w:hAnsi="Garamond"/>
                <w:sz w:val="24"/>
                <w:szCs w:val="24"/>
              </w:rPr>
              <w:tab/>
              <w:t>partnership</w:t>
            </w:r>
            <w:r w:rsidRPr="00212218">
              <w:rPr>
                <w:rFonts w:ascii="Garamond" w:hAnsi="Garamond"/>
                <w:sz w:val="24"/>
                <w:szCs w:val="24"/>
              </w:rPr>
              <w:tab/>
              <w:t>delegation</w:t>
            </w:r>
            <w:r w:rsidRPr="00212218">
              <w:rPr>
                <w:rFonts w:ascii="Garamond" w:hAnsi="Garamond"/>
                <w:sz w:val="24"/>
                <w:szCs w:val="24"/>
              </w:rPr>
              <w:tab/>
              <w:t>control</w:t>
            </w:r>
          </w:p>
        </w:tc>
      </w:tr>
    </w:tbl>
    <w:p w14:paraId="4BA3CDC9" w14:textId="17321503" w:rsidR="00252A51" w:rsidRPr="009A13B4" w:rsidRDefault="00252A51" w:rsidP="009A13B4">
      <w:pPr>
        <w:spacing w:before="60" w:after="240"/>
        <w:jc w:val="center"/>
        <w:rPr>
          <w:rFonts w:ascii="Garamond" w:hAnsi="Garamond" w:cs="Times New Roman"/>
          <w:sz w:val="20"/>
          <w:lang w:val="en-US"/>
        </w:rPr>
      </w:pPr>
      <w:r w:rsidRPr="009A13B4">
        <w:rPr>
          <w:rFonts w:ascii="Garamond" w:hAnsi="Garamond" w:cs="Times New Roman"/>
          <w:sz w:val="20"/>
          <w:lang w:val="en-US"/>
        </w:rPr>
        <w:t>Figure</w:t>
      </w:r>
      <w:r w:rsidR="00410194">
        <w:rPr>
          <w:rFonts w:ascii="Garamond" w:hAnsi="Garamond" w:cs="Times New Roman"/>
          <w:sz w:val="20"/>
          <w:lang w:val="en-US"/>
        </w:rPr>
        <w:t> </w:t>
      </w:r>
      <w:r w:rsidRPr="009A13B4">
        <w:rPr>
          <w:rFonts w:ascii="Garamond" w:hAnsi="Garamond" w:cs="Times New Roman"/>
          <w:sz w:val="20"/>
          <w:lang w:val="en-US"/>
        </w:rPr>
        <w:t>1: The Shand-Arnberg Participation Continuum</w:t>
      </w:r>
      <w:r w:rsidRPr="009A13B4">
        <w:rPr>
          <w:rStyle w:val="Appelnotedebasdep"/>
          <w:rFonts w:ascii="Garamond" w:hAnsi="Garamond" w:cs="Times New Roman"/>
          <w:sz w:val="20"/>
        </w:rPr>
        <w:footnoteReference w:id="64"/>
      </w:r>
    </w:p>
    <w:p w14:paraId="2112E523" w14:textId="12E27195" w:rsidR="00252A51" w:rsidRPr="007C456C" w:rsidRDefault="00252A51" w:rsidP="009A13B4">
      <w:pPr>
        <w:rPr>
          <w:rFonts w:ascii="Garamond" w:hAnsi="Garamond" w:cs="Times New Roman"/>
          <w:lang w:val="en-US"/>
        </w:rPr>
      </w:pPr>
      <w:r w:rsidRPr="007C456C">
        <w:rPr>
          <w:rFonts w:ascii="Garamond" w:hAnsi="Garamond" w:cs="Times New Roman"/>
          <w:lang w:val="en-US"/>
        </w:rPr>
        <w:t>The minimum participation end of this continuum includes information that is voluntarily published through education programs, advertising and promotional materials. Bishop and Davis conclude that this is hardly meaningful participation “since the flow is only one-way”.</w:t>
      </w:r>
      <w:r w:rsidRPr="00212218">
        <w:rPr>
          <w:rStyle w:val="Appelnotedebasdep"/>
          <w:rFonts w:ascii="Garamond" w:hAnsi="Garamond" w:cs="Times New Roman"/>
        </w:rPr>
        <w:footnoteReference w:id="65"/>
      </w:r>
      <w:r w:rsidRPr="007C456C">
        <w:rPr>
          <w:rFonts w:ascii="Garamond" w:hAnsi="Garamond" w:cs="Times New Roman"/>
          <w:lang w:val="en-US"/>
        </w:rPr>
        <w:t xml:space="preserve"> </w:t>
      </w:r>
      <w:r w:rsidRPr="003F6A60">
        <w:rPr>
          <w:rFonts w:ascii="Garamond" w:hAnsi="Garamond" w:cs="Times New Roman"/>
          <w:lang w:val="en-US"/>
        </w:rPr>
        <w:t>Compelled disclosure of information, such as through FOI, offers a little more participation because members of the public have some control over the kind of information they access.</w:t>
      </w:r>
      <w:r w:rsidRPr="00212218">
        <w:rPr>
          <w:rStyle w:val="Appelnotedebasdep"/>
          <w:rFonts w:ascii="Garamond" w:hAnsi="Garamond" w:cs="Times New Roman"/>
        </w:rPr>
        <w:footnoteReference w:id="66"/>
      </w:r>
      <w:r w:rsidRPr="003F6A60">
        <w:rPr>
          <w:rFonts w:ascii="Garamond" w:hAnsi="Garamond" w:cs="Times New Roman"/>
          <w:lang w:val="en-US"/>
        </w:rPr>
        <w:t xml:space="preserve"> </w:t>
      </w:r>
      <w:r w:rsidR="00975542" w:rsidRPr="003F6A60">
        <w:rPr>
          <w:rFonts w:ascii="Garamond" w:hAnsi="Garamond" w:cs="Times New Roman"/>
          <w:lang w:val="en-US"/>
        </w:rPr>
        <w:tab/>
      </w:r>
      <w:r w:rsidR="00975542" w:rsidRPr="003F6A60">
        <w:rPr>
          <w:rFonts w:ascii="Garamond" w:hAnsi="Garamond" w:cs="Times New Roman"/>
          <w:lang w:val="en-US"/>
        </w:rPr>
        <w:br/>
      </w:r>
      <w:r w:rsidRPr="009A13B4">
        <w:rPr>
          <w:rFonts w:ascii="Garamond" w:hAnsi="Garamond" w:cs="Times New Roman"/>
          <w:lang w:val="en-US"/>
        </w:rPr>
        <w:t xml:space="preserve">Consultation is the next step on the continuum. </w:t>
      </w:r>
      <w:r w:rsidRPr="007C456C">
        <w:rPr>
          <w:rFonts w:ascii="Garamond" w:hAnsi="Garamond" w:cs="Times New Roman"/>
          <w:lang w:val="en-US"/>
        </w:rPr>
        <w:t xml:space="preserve">The objectives of consultation are “to augment legitimacy and improve the quality of </w:t>
      </w:r>
      <w:r w:rsidRPr="007C456C">
        <w:rPr>
          <w:rFonts w:ascii="Garamond" w:hAnsi="Garamond" w:cs="Times New Roman"/>
          <w:lang w:val="en-US"/>
        </w:rPr>
        <w:lastRenderedPageBreak/>
        <w:t>democratic decision</w:t>
      </w:r>
      <w:r w:rsidR="009A13B4">
        <w:rPr>
          <w:rFonts w:ascii="Garamond" w:hAnsi="Garamond" w:cs="Times New Roman"/>
          <w:lang w:val="en-US"/>
        </w:rPr>
        <w:t>-</w:t>
      </w:r>
      <w:r w:rsidRPr="007C456C">
        <w:rPr>
          <w:rFonts w:ascii="Garamond" w:hAnsi="Garamond" w:cs="Times New Roman"/>
          <w:lang w:val="en-US"/>
        </w:rPr>
        <w:t>making”.</w:t>
      </w:r>
      <w:r w:rsidRPr="00212218">
        <w:rPr>
          <w:rStyle w:val="Appelnotedebasdep"/>
          <w:rFonts w:ascii="Garamond" w:hAnsi="Garamond" w:cs="Times New Roman"/>
        </w:rPr>
        <w:footnoteReference w:id="67"/>
      </w:r>
      <w:r w:rsidRPr="007C456C">
        <w:rPr>
          <w:rFonts w:ascii="Garamond" w:hAnsi="Garamond" w:cs="Times New Roman"/>
          <w:lang w:val="en-US"/>
        </w:rPr>
        <w:t xml:space="preserve"> </w:t>
      </w:r>
      <w:r w:rsidRPr="003F6A60">
        <w:rPr>
          <w:rFonts w:ascii="Garamond" w:hAnsi="Garamond" w:cs="Times New Roman"/>
          <w:lang w:val="en-US"/>
        </w:rPr>
        <w:t>Whereas access to information is one-way, consultation is a two-way flow with informed citizens providing further information to government.</w:t>
      </w:r>
      <w:r w:rsidRPr="00212218">
        <w:rPr>
          <w:rStyle w:val="Appelnotedebasdep"/>
          <w:rFonts w:ascii="Garamond" w:hAnsi="Garamond" w:cs="Times New Roman"/>
        </w:rPr>
        <w:footnoteReference w:id="68"/>
      </w:r>
      <w:r w:rsidRPr="003F6A60">
        <w:rPr>
          <w:rFonts w:ascii="Garamond" w:hAnsi="Garamond" w:cs="Times New Roman"/>
          <w:lang w:val="en-US"/>
        </w:rPr>
        <w:t xml:space="preserve"> There is no guarantee of an official response to the information and comments supplied by the public.</w:t>
      </w:r>
      <w:r w:rsidRPr="00212218">
        <w:rPr>
          <w:rStyle w:val="Appelnotedebasdep"/>
          <w:rFonts w:ascii="Garamond" w:hAnsi="Garamond" w:cs="Times New Roman"/>
        </w:rPr>
        <w:footnoteReference w:id="69"/>
      </w:r>
      <w:r w:rsidRPr="003F6A60">
        <w:rPr>
          <w:rFonts w:ascii="Garamond" w:hAnsi="Garamond" w:cs="Times New Roman"/>
          <w:lang w:val="en-US"/>
        </w:rPr>
        <w:t xml:space="preserve"> Whatever the form, to be effective, consultation must be more than an information gathering exercise. </w:t>
      </w:r>
      <w:r w:rsidRPr="007C456C">
        <w:rPr>
          <w:rFonts w:ascii="Garamond" w:hAnsi="Garamond" w:cs="Times New Roman"/>
          <w:lang w:val="en-US"/>
        </w:rPr>
        <w:t>The Organisation for Economic Co-operation and Development (OECD) uses the term “openness” to describe this flow of information to government decision makers:</w:t>
      </w:r>
    </w:p>
    <w:p w14:paraId="6CED35D8" w14:textId="4AC77D7B" w:rsidR="00252A51" w:rsidRPr="00212218" w:rsidRDefault="00252A51" w:rsidP="009A13B4">
      <w:pPr>
        <w:ind w:left="567"/>
        <w:rPr>
          <w:rFonts w:ascii="Garamond" w:hAnsi="Garamond" w:cs="Times New Roman"/>
          <w:lang w:val="en-AU"/>
        </w:rPr>
      </w:pPr>
      <w:r w:rsidRPr="00212218">
        <w:rPr>
          <w:rFonts w:ascii="Garamond" w:hAnsi="Garamond" w:cs="Times New Roman"/>
          <w:i/>
          <w:iCs/>
          <w:lang w:val="en-AU"/>
        </w:rPr>
        <w:t>“Openness</w:t>
      </w:r>
      <w:r w:rsidRPr="00212218">
        <w:rPr>
          <w:rFonts w:ascii="Garamond" w:hAnsi="Garamond" w:cs="Times New Roman"/>
          <w:lang w:val="en-AU"/>
        </w:rPr>
        <w:t>, meaning that governments listen to citizens and businesses, and take their suggestions into account when designing and implementing public policies.”</w:t>
      </w:r>
      <w:r w:rsidRPr="00212218">
        <w:rPr>
          <w:rStyle w:val="Appelnotedebasdep"/>
          <w:rFonts w:ascii="Garamond" w:hAnsi="Garamond" w:cs="Times New Roman"/>
          <w:lang w:val="en-AU"/>
        </w:rPr>
        <w:footnoteReference w:id="70"/>
      </w:r>
      <w:r w:rsidRPr="00212218">
        <w:rPr>
          <w:rFonts w:ascii="Garamond" w:hAnsi="Garamond" w:cs="Times New Roman"/>
          <w:lang w:val="en-AU"/>
        </w:rPr>
        <w:t xml:space="preserve"> </w:t>
      </w:r>
    </w:p>
    <w:p w14:paraId="0A53EE5B" w14:textId="77777777" w:rsidR="00252A51" w:rsidRPr="007C456C" w:rsidRDefault="00252A51" w:rsidP="009A13B4">
      <w:pPr>
        <w:rPr>
          <w:rFonts w:ascii="Garamond" w:hAnsi="Garamond" w:cs="Times New Roman"/>
          <w:lang w:val="en-US"/>
        </w:rPr>
      </w:pPr>
      <w:r w:rsidRPr="007C456C">
        <w:rPr>
          <w:rFonts w:ascii="Garamond" w:hAnsi="Garamond" w:cs="Times New Roman"/>
          <w:lang w:val="en-US"/>
        </w:rPr>
        <w:t>At times, it seems that when “participation” is proposed, what is actually meant is consultation of this kind. The 2009 United States Office of Management and Budget Open Government Directive described participation as follows:</w:t>
      </w:r>
    </w:p>
    <w:p w14:paraId="680C5A32" w14:textId="6225AC93" w:rsidR="00252A51" w:rsidRPr="003F6A60" w:rsidRDefault="00252A51" w:rsidP="009A13B4">
      <w:pPr>
        <w:ind w:left="567"/>
        <w:rPr>
          <w:rFonts w:ascii="Garamond" w:hAnsi="Garamond" w:cs="Times New Roman"/>
          <w:lang w:val="en-US"/>
        </w:rPr>
      </w:pPr>
      <w:r w:rsidRPr="00212218">
        <w:rPr>
          <w:rFonts w:ascii="Garamond" w:hAnsi="Garamond" w:cs="Times New Roman"/>
          <w:lang w:val="en-US"/>
        </w:rPr>
        <w:t>“Participation allows members of the public to contribute ideas and expertise so that their government can make policies with the benefit of information that is widely dispersed in society.”</w:t>
      </w:r>
      <w:r w:rsidRPr="00212218">
        <w:rPr>
          <w:rStyle w:val="Appelnotedebasdep"/>
          <w:rFonts w:ascii="Garamond" w:hAnsi="Garamond" w:cs="Times New Roman"/>
          <w:color w:val="262626"/>
          <w:lang w:val="en-US"/>
        </w:rPr>
        <w:footnoteReference w:id="71"/>
      </w:r>
    </w:p>
    <w:p w14:paraId="042BD1C0" w14:textId="77777777" w:rsidR="00252A51" w:rsidRPr="007C456C" w:rsidRDefault="00252A51" w:rsidP="009A13B4">
      <w:pPr>
        <w:rPr>
          <w:rFonts w:ascii="Garamond" w:hAnsi="Garamond" w:cs="Times New Roman"/>
          <w:lang w:val="en-US"/>
        </w:rPr>
      </w:pPr>
      <w:r w:rsidRPr="007C456C">
        <w:rPr>
          <w:rFonts w:ascii="Garamond" w:hAnsi="Garamond" w:cs="Times New Roman"/>
          <w:lang w:val="en-US"/>
        </w:rPr>
        <w:t>For the OECD, active participation involves greater public input into the policy-making process:</w:t>
      </w:r>
    </w:p>
    <w:p w14:paraId="3CED15EB" w14:textId="5A5A7BE3" w:rsidR="00252A51" w:rsidRPr="00212218" w:rsidRDefault="00252A51" w:rsidP="009A13B4">
      <w:pPr>
        <w:pStyle w:val="Normalweb"/>
        <w:shd w:val="clear" w:color="auto" w:fill="FFFFFF"/>
        <w:spacing w:before="0" w:beforeAutospacing="0" w:after="0" w:afterAutospacing="0" w:line="240" w:lineRule="auto"/>
        <w:ind w:left="567"/>
        <w:jc w:val="both"/>
        <w:rPr>
          <w:rFonts w:ascii="Garamond" w:eastAsiaTheme="minorHAnsi" w:hAnsi="Garamond"/>
          <w:sz w:val="24"/>
          <w:szCs w:val="24"/>
        </w:rPr>
      </w:pPr>
      <w:r w:rsidRPr="00212218">
        <w:rPr>
          <w:rFonts w:ascii="Garamond" w:hAnsi="Garamond"/>
          <w:sz w:val="24"/>
          <w:szCs w:val="24"/>
        </w:rPr>
        <w:t>“</w:t>
      </w:r>
      <w:r w:rsidRPr="00212218">
        <w:rPr>
          <w:rFonts w:ascii="Garamond" w:eastAsiaTheme="minorHAnsi" w:hAnsi="Garamond"/>
          <w:sz w:val="24"/>
          <w:szCs w:val="24"/>
        </w:rPr>
        <w:t>Active participation is regarded as a relation based on partnership with government, in which citizens actively engage in defining the process and content of policy-making. It acknowledges equal standing for citizens in setting the agenda, proposing policy options and shaping the policy dialogue – although the responsibility for the final decision or policy formulation rests with government. Active participation recognises the capacity of citizens to discuss and generate policy options independently. It requires governments to share in agenda-setting and to ensure that policy proposals generated jointly will be taken into account in reaching a final decision.”</w:t>
      </w:r>
      <w:r w:rsidRPr="00212218">
        <w:rPr>
          <w:rStyle w:val="Appelnotedebasdep"/>
          <w:rFonts w:ascii="Garamond" w:eastAsiaTheme="minorHAnsi" w:hAnsi="Garamond"/>
          <w:sz w:val="24"/>
          <w:szCs w:val="24"/>
        </w:rPr>
        <w:footnoteReference w:id="72"/>
      </w:r>
      <w:r w:rsidRPr="00212218">
        <w:rPr>
          <w:rFonts w:ascii="Garamond" w:eastAsiaTheme="minorHAnsi" w:hAnsi="Garamond"/>
          <w:sz w:val="24"/>
          <w:szCs w:val="24"/>
        </w:rPr>
        <w:t xml:space="preserve"> </w:t>
      </w:r>
    </w:p>
    <w:p w14:paraId="3365A430" w14:textId="5F4F5D66" w:rsidR="00252A51" w:rsidRPr="007C456C" w:rsidRDefault="00252A51" w:rsidP="00212218">
      <w:pPr>
        <w:spacing w:after="240"/>
        <w:rPr>
          <w:rFonts w:ascii="Garamond" w:hAnsi="Garamond" w:cs="Times New Roman"/>
          <w:lang w:val="en-US"/>
        </w:rPr>
      </w:pPr>
      <w:r w:rsidRPr="007C456C">
        <w:rPr>
          <w:rFonts w:ascii="Garamond" w:hAnsi="Garamond" w:cs="Times New Roman"/>
          <w:lang w:val="en-US"/>
        </w:rPr>
        <w:t xml:space="preserve">Even with this interpretation of “active” participation “the responsibility for the final decision or policy formulation rests with </w:t>
      </w:r>
      <w:r w:rsidRPr="007C456C">
        <w:rPr>
          <w:rFonts w:ascii="Garamond" w:hAnsi="Garamond" w:cs="Times New Roman"/>
          <w:lang w:val="en-US"/>
        </w:rPr>
        <w:lastRenderedPageBreak/>
        <w:t>government.”</w:t>
      </w:r>
      <w:r w:rsidRPr="00212218">
        <w:rPr>
          <w:rStyle w:val="Appelnotedebasdep"/>
          <w:rFonts w:ascii="Garamond" w:hAnsi="Garamond" w:cs="Times New Roman"/>
        </w:rPr>
        <w:footnoteReference w:id="73"/>
      </w:r>
      <w:r w:rsidRPr="007C456C">
        <w:rPr>
          <w:rFonts w:ascii="Garamond" w:hAnsi="Garamond" w:cs="Times New Roman"/>
          <w:lang w:val="en-US"/>
        </w:rPr>
        <w:t xml:space="preserve"> </w:t>
      </w:r>
      <w:r w:rsidRPr="003F6A60">
        <w:rPr>
          <w:rFonts w:ascii="Garamond" w:hAnsi="Garamond" w:cs="Times New Roman"/>
          <w:lang w:val="en-US"/>
        </w:rPr>
        <w:t xml:space="preserve">Public access to official information, and public submissions to decision-makers does not involve full participation because these processes do not alter the allocation of decision-making powers in a representative democracy. </w:t>
      </w:r>
      <w:r w:rsidRPr="007C456C">
        <w:rPr>
          <w:rFonts w:ascii="Garamond" w:hAnsi="Garamond" w:cs="Times New Roman"/>
          <w:lang w:val="en-US"/>
        </w:rPr>
        <w:t>With the repositories of decision-making powers unchanged, the promises emerging from theories of participatory democracy have led to a mismatch in expectations about what open government can really achieve.</w:t>
      </w:r>
      <w:r w:rsidR="00975542" w:rsidRPr="007C456C">
        <w:rPr>
          <w:rFonts w:ascii="Garamond" w:hAnsi="Garamond" w:cs="Times New Roman"/>
          <w:lang w:val="en-US"/>
        </w:rPr>
        <w:br/>
      </w:r>
      <w:r w:rsidRPr="003F6A60">
        <w:rPr>
          <w:rFonts w:ascii="Garamond" w:hAnsi="Garamond" w:cs="Times New Roman"/>
          <w:lang w:val="en-US"/>
        </w:rPr>
        <w:t>Although participatory democracy was once a radical concept of democratic theory, emerging from student and workers’ movements in the 1960s and 1970s</w:t>
      </w:r>
      <w:r w:rsidRPr="00212218">
        <w:rPr>
          <w:rStyle w:val="Appelnotedebasdep"/>
          <w:rFonts w:ascii="Garamond" w:hAnsi="Garamond" w:cs="Times New Roman"/>
        </w:rPr>
        <w:footnoteReference w:id="74"/>
      </w:r>
      <w:r w:rsidRPr="003F6A60">
        <w:rPr>
          <w:rFonts w:ascii="Garamond" w:hAnsi="Garamond" w:cs="Times New Roman"/>
          <w:lang w:val="en-US"/>
        </w:rPr>
        <w:t xml:space="preserve"> with citizens involved directly in decision-making in all spheres of life, it has recently been described as “mainstream” and has been “championed by businesspeople and political strategists, municipal bureaucrats and social workers’.</w:t>
      </w:r>
      <w:r w:rsidRPr="00212218">
        <w:rPr>
          <w:rStyle w:val="Appelnotedebasdep"/>
          <w:rFonts w:ascii="Garamond" w:hAnsi="Garamond" w:cs="Times New Roman"/>
          <w:lang w:val="en-AU"/>
        </w:rPr>
        <w:footnoteReference w:id="75"/>
      </w:r>
      <w:r w:rsidRPr="003F6A60">
        <w:rPr>
          <w:rFonts w:ascii="Garamond" w:hAnsi="Garamond" w:cs="Times New Roman"/>
          <w:lang w:val="en-US"/>
        </w:rPr>
        <w:t xml:space="preserve"> Moreover, it has become a popular and commonly used rhetorical device. </w:t>
      </w:r>
      <w:r w:rsidRPr="007C456C">
        <w:rPr>
          <w:rFonts w:ascii="Garamond" w:hAnsi="Garamond" w:cs="Times New Roman"/>
          <w:lang w:val="en-US"/>
        </w:rPr>
        <w:t>However, in the freedom of information literature, calls for public participation made</w:t>
      </w:r>
      <w:r w:rsidRPr="00212218">
        <w:rPr>
          <w:rStyle w:val="Appelnotedebasdep"/>
          <w:rFonts w:ascii="Garamond" w:hAnsi="Garamond" w:cs="Times New Roman"/>
        </w:rPr>
        <w:footnoteReference w:id="76"/>
      </w:r>
      <w:r w:rsidRPr="007C456C">
        <w:rPr>
          <w:rFonts w:ascii="Garamond" w:hAnsi="Garamond" w:cs="Times New Roman"/>
          <w:lang w:val="en-US"/>
        </w:rPr>
        <w:t xml:space="preserve"> do not really require a rewriting of the liberal traditions of representative democracy. </w:t>
      </w:r>
      <w:r w:rsidR="00975542" w:rsidRPr="007C456C">
        <w:rPr>
          <w:rFonts w:ascii="Garamond" w:hAnsi="Garamond" w:cs="Times New Roman"/>
          <w:lang w:val="en-US"/>
        </w:rPr>
        <w:br/>
      </w:r>
      <w:r w:rsidRPr="007C456C">
        <w:rPr>
          <w:rFonts w:ascii="Garamond" w:hAnsi="Garamond" w:cs="Times New Roman"/>
          <w:lang w:val="en-US"/>
        </w:rPr>
        <w:t>If anything, theories of deliberative democracy are more relevant to the type of public participation envisaged by open government. Deliberative democracy focuses upon the role of open discussion and argumentation about competing views of the public good.</w:t>
      </w:r>
      <w:r w:rsidRPr="00212218">
        <w:rPr>
          <w:rStyle w:val="Appelnotedebasdep"/>
          <w:rFonts w:ascii="Garamond" w:hAnsi="Garamond" w:cs="Times New Roman"/>
        </w:rPr>
        <w:footnoteReference w:id="77"/>
      </w:r>
      <w:r w:rsidRPr="007C456C">
        <w:rPr>
          <w:rFonts w:ascii="Garamond" w:hAnsi="Garamond" w:cs="Times New Roman"/>
          <w:lang w:val="en-US"/>
        </w:rPr>
        <w:t xml:space="preserve"> </w:t>
      </w:r>
      <w:r w:rsidRPr="003F6A60">
        <w:rPr>
          <w:rFonts w:ascii="Garamond" w:hAnsi="Garamond" w:cs="Times New Roman"/>
          <w:lang w:val="en-US"/>
        </w:rPr>
        <w:t>Beyond the expression of individual positions, deliberative theorists focus upon rational discussion.</w:t>
      </w:r>
      <w:r w:rsidRPr="00212218">
        <w:rPr>
          <w:rStyle w:val="Appelnotedebasdep"/>
          <w:rFonts w:ascii="Garamond" w:hAnsi="Garamond" w:cs="Times New Roman"/>
        </w:rPr>
        <w:footnoteReference w:id="78"/>
      </w:r>
      <w:r w:rsidRPr="003F6A60">
        <w:rPr>
          <w:rFonts w:ascii="Garamond" w:hAnsi="Garamond" w:cs="Times New Roman"/>
          <w:lang w:val="en-US"/>
        </w:rPr>
        <w:t xml:space="preserve"> This discourse is conducted in the public sphere of civil society, a third realm separate from the state and the private realm. </w:t>
      </w:r>
      <w:r w:rsidRPr="007C456C">
        <w:rPr>
          <w:rFonts w:ascii="Garamond" w:hAnsi="Garamond" w:cs="Times New Roman"/>
          <w:lang w:val="en-US"/>
        </w:rPr>
        <w:t>The theory suggests that so long as open discussion is protected then better arguments will emerge and prevail. This public discourse is conducted outside formal government processes and yet influences official decision-making beyond the traditionally liberal involvements of voting and elections.</w:t>
      </w:r>
      <w:r w:rsidRPr="00212218">
        <w:rPr>
          <w:rStyle w:val="Appelnotedebasdep"/>
          <w:rFonts w:ascii="Garamond" w:hAnsi="Garamond" w:cs="Times New Roman"/>
        </w:rPr>
        <w:footnoteReference w:id="79"/>
      </w:r>
      <w:r w:rsidRPr="007C456C">
        <w:rPr>
          <w:rFonts w:ascii="Garamond" w:hAnsi="Garamond" w:cs="Times New Roman"/>
          <w:lang w:val="en-US"/>
        </w:rPr>
        <w:t xml:space="preserve"> </w:t>
      </w:r>
      <w:r w:rsidRPr="003F6A60">
        <w:rPr>
          <w:rFonts w:ascii="Garamond" w:hAnsi="Garamond" w:cs="Times New Roman"/>
          <w:lang w:val="en-US"/>
        </w:rPr>
        <w:t xml:space="preserve">Unobstructed flows of information are regarded as </w:t>
      </w:r>
      <w:r w:rsidRPr="003F6A60">
        <w:rPr>
          <w:rFonts w:ascii="Garamond" w:hAnsi="Garamond" w:cs="Times New Roman"/>
          <w:lang w:val="en-US"/>
        </w:rPr>
        <w:lastRenderedPageBreak/>
        <w:t>essential to this process.</w:t>
      </w:r>
      <w:r w:rsidRPr="00212218">
        <w:rPr>
          <w:rStyle w:val="Appelnotedebasdep"/>
          <w:rFonts w:ascii="Garamond" w:hAnsi="Garamond" w:cs="Times New Roman"/>
        </w:rPr>
        <w:footnoteReference w:id="80"/>
      </w:r>
      <w:r w:rsidRPr="003F6A60">
        <w:rPr>
          <w:rFonts w:ascii="Garamond" w:hAnsi="Garamond" w:cs="Times New Roman"/>
          <w:lang w:val="en-US"/>
        </w:rPr>
        <w:t xml:space="preserve"> If the participation discussed in the FOI literature is seen as participation through debate regarding the best directions for government policy, then calls for disclosure of official information to that public debate </w:t>
      </w:r>
      <w:r w:rsidRPr="003F6A60">
        <w:rPr>
          <w:rFonts w:ascii="Garamond" w:hAnsi="Garamond" w:cs="Times New Roman"/>
          <w:i/>
          <w:lang w:val="en-US"/>
        </w:rPr>
        <w:t>and</w:t>
      </w:r>
      <w:r w:rsidRPr="003F6A60">
        <w:rPr>
          <w:rFonts w:ascii="Garamond" w:hAnsi="Garamond" w:cs="Times New Roman"/>
          <w:lang w:val="en-US"/>
        </w:rPr>
        <w:t xml:space="preserve"> the maintenance of confidentiality for some internal government deliberations can be reconciled. </w:t>
      </w:r>
      <w:r w:rsidRPr="007C456C">
        <w:rPr>
          <w:rFonts w:ascii="Garamond" w:hAnsi="Garamond" w:cs="Times New Roman"/>
          <w:lang w:val="en-US"/>
        </w:rPr>
        <w:t>They are operating in different realms: government officials and citizens meet in the public sphere to engage in debate, but some confidential spaces are retained.</w:t>
      </w:r>
    </w:p>
    <w:p w14:paraId="7A9AA0E8" w14:textId="534AE906" w:rsidR="00252A51" w:rsidRPr="00212218" w:rsidRDefault="00212218" w:rsidP="00212218">
      <w:pPr>
        <w:pStyle w:val="Titre1"/>
      </w:pPr>
      <w:bookmarkStart w:id="22" w:name="_Toc287266214"/>
      <w:bookmarkStart w:id="23" w:name="_Toc289002246"/>
      <w:r>
        <w:rPr>
          <w:rFonts w:cs="Times New Roman"/>
        </w:rPr>
        <w:t>§</w:t>
      </w:r>
      <w:r w:rsidR="00410194">
        <w:rPr>
          <w:rFonts w:cs="Times New Roman"/>
        </w:rPr>
        <w:t> </w:t>
      </w:r>
      <w:r>
        <w:rPr>
          <w:rFonts w:cs="Times New Roman"/>
        </w:rPr>
        <w:t xml:space="preserve">4 – </w:t>
      </w:r>
      <w:r w:rsidR="00252A51" w:rsidRPr="00212218">
        <w:t>Deliberative material</w:t>
      </w:r>
      <w:bookmarkEnd w:id="22"/>
      <w:bookmarkEnd w:id="23"/>
    </w:p>
    <w:p w14:paraId="3DB2BEC9" w14:textId="0338CC71" w:rsidR="00252A51" w:rsidRPr="003F6A60" w:rsidRDefault="00252A51" w:rsidP="009A13B4">
      <w:pPr>
        <w:rPr>
          <w:rFonts w:ascii="Garamond" w:hAnsi="Garamond" w:cs="Times New Roman"/>
          <w:lang w:val="en-US"/>
        </w:rPr>
      </w:pPr>
      <w:r w:rsidRPr="007C456C">
        <w:rPr>
          <w:rFonts w:ascii="Garamond" w:hAnsi="Garamond" w:cs="Times New Roman"/>
          <w:lang w:val="en-US"/>
        </w:rPr>
        <w:t>This brings us to vexing questions regarding the extent to which internal working documents must be disclosed under Australian FOI. The Federal FOI Act provides that deliberative material, also known as internal working documents, can be exempted from disclosure.</w:t>
      </w:r>
      <w:r w:rsidRPr="00212218">
        <w:rPr>
          <w:rStyle w:val="Appelnotedebasdep"/>
          <w:rFonts w:ascii="Garamond" w:hAnsi="Garamond" w:cs="Times New Roman"/>
        </w:rPr>
        <w:footnoteReference w:id="81"/>
      </w:r>
      <w:r w:rsidRPr="007C456C">
        <w:rPr>
          <w:rFonts w:ascii="Garamond" w:hAnsi="Garamond" w:cs="Times New Roman"/>
          <w:lang w:val="en-US"/>
        </w:rPr>
        <w:t xml:space="preserve"> </w:t>
      </w:r>
      <w:bookmarkStart w:id="24" w:name="_Toc400462468"/>
      <w:r w:rsidRPr="003F6A60">
        <w:rPr>
          <w:rFonts w:ascii="Garamond" w:hAnsi="Garamond" w:cs="Times New Roman"/>
          <w:lang w:val="en-US"/>
        </w:rPr>
        <w:t xml:space="preserve">If applied too broadly, an exemption for such documents can undermine the open government objective. </w:t>
      </w:r>
      <w:bookmarkEnd w:id="24"/>
      <w:r w:rsidRPr="007C456C">
        <w:rPr>
          <w:rFonts w:ascii="Garamond" w:hAnsi="Garamond" w:cs="Times New Roman"/>
          <w:lang w:val="en-US"/>
        </w:rPr>
        <w:t>This exemption</w:t>
      </w:r>
      <w:r w:rsidRPr="00212218">
        <w:rPr>
          <w:rStyle w:val="Appelnotedebasdep"/>
          <w:rFonts w:ascii="Garamond" w:hAnsi="Garamond" w:cs="Times New Roman"/>
        </w:rPr>
        <w:footnoteReference w:id="82"/>
      </w:r>
      <w:r w:rsidRPr="007C456C">
        <w:rPr>
          <w:rFonts w:ascii="Garamond" w:hAnsi="Garamond" w:cs="Times New Roman"/>
          <w:lang w:val="en-US"/>
        </w:rPr>
        <w:t xml:space="preserve"> was described by the Australian Federal Attorney-General in the first FOI annual report as: </w:t>
      </w:r>
      <w:r w:rsidR="00410194">
        <w:rPr>
          <w:rFonts w:ascii="Garamond" w:hAnsi="Garamond" w:cs="Times New Roman"/>
          <w:lang w:val="en-US"/>
        </w:rPr>
        <w:t>“</w:t>
      </w:r>
      <w:r w:rsidRPr="007C456C">
        <w:rPr>
          <w:rFonts w:ascii="Garamond" w:hAnsi="Garamond" w:cs="Times New Roman"/>
          <w:lang w:val="en-US"/>
        </w:rPr>
        <w:t>one of the most important and also one of the most difficult provisions in the Act</w:t>
      </w:r>
      <w:r w:rsidR="00410194">
        <w:rPr>
          <w:rFonts w:ascii="Garamond" w:hAnsi="Garamond" w:cs="Times New Roman"/>
          <w:lang w:val="en-US"/>
        </w:rPr>
        <w:t>”</w:t>
      </w:r>
      <w:r w:rsidRPr="007C456C">
        <w:rPr>
          <w:rFonts w:ascii="Garamond" w:hAnsi="Garamond" w:cs="Times New Roman"/>
          <w:lang w:val="en-US"/>
        </w:rPr>
        <w:t>.</w:t>
      </w:r>
      <w:r w:rsidRPr="00212218">
        <w:rPr>
          <w:rStyle w:val="Appelnotedebasdep"/>
          <w:rFonts w:ascii="Garamond" w:hAnsi="Garamond" w:cs="Times New Roman"/>
        </w:rPr>
        <w:footnoteReference w:id="83"/>
      </w:r>
      <w:r w:rsidRPr="007C456C">
        <w:rPr>
          <w:rFonts w:ascii="Garamond" w:hAnsi="Garamond" w:cs="Times New Roman"/>
          <w:lang w:val="en-US"/>
        </w:rPr>
        <w:t xml:space="preserve">  </w:t>
      </w:r>
      <w:r w:rsidRPr="003F6A60">
        <w:rPr>
          <w:rFonts w:ascii="Garamond" w:hAnsi="Garamond" w:cs="Times New Roman"/>
          <w:lang w:val="en-US"/>
        </w:rPr>
        <w:t xml:space="preserve">From the outset, the Australian public service was </w:t>
      </w:r>
      <w:r w:rsidR="00410194">
        <w:rPr>
          <w:rFonts w:ascii="Garamond" w:hAnsi="Garamond" w:cs="Times New Roman"/>
          <w:lang w:val="en-US"/>
        </w:rPr>
        <w:t>“</w:t>
      </w:r>
      <w:r w:rsidRPr="003F6A60">
        <w:rPr>
          <w:rFonts w:ascii="Garamond" w:hAnsi="Garamond" w:cs="Times New Roman"/>
          <w:lang w:val="en-US"/>
        </w:rPr>
        <w:t>much concerned with how documents that form part of the decision-making processes of government ought to be treated under the proposed legislation.”</w:t>
      </w:r>
      <w:r w:rsidRPr="00212218">
        <w:rPr>
          <w:rStyle w:val="Appelnotedebasdep"/>
          <w:rFonts w:ascii="Garamond" w:hAnsi="Garamond" w:cs="Times New Roman"/>
        </w:rPr>
        <w:footnoteReference w:id="84"/>
      </w:r>
      <w:r w:rsidRPr="003F6A60">
        <w:rPr>
          <w:rFonts w:ascii="Garamond" w:hAnsi="Garamond" w:cs="Times New Roman"/>
          <w:lang w:val="en-US"/>
        </w:rPr>
        <w:t xml:space="preserve"> There were particular concerns about public access to pre-decisional material, including advice, opinions and recommendations made to decision-makers, and communications between collective decision-makers. </w:t>
      </w:r>
      <w:r w:rsidRPr="007C456C">
        <w:rPr>
          <w:rFonts w:ascii="Garamond" w:hAnsi="Garamond" w:cs="Times New Roman"/>
          <w:lang w:val="en-US"/>
        </w:rPr>
        <w:t xml:space="preserve">The 1976 </w:t>
      </w:r>
      <w:r w:rsidRPr="00212218">
        <w:rPr>
          <w:rFonts w:ascii="Garamond" w:hAnsi="Garamond" w:cs="Times New Roman"/>
          <w:lang w:val="en"/>
        </w:rPr>
        <w:t xml:space="preserve">Interdepartmental Committee report argued that a </w:t>
      </w:r>
      <w:r w:rsidRPr="007C456C">
        <w:rPr>
          <w:rFonts w:ascii="Garamond" w:hAnsi="Garamond" w:cs="Times New Roman"/>
          <w:lang w:val="en-US"/>
        </w:rPr>
        <w:t xml:space="preserve">clear distinction could be drawn between final decisions made in the exercise of a power and </w:t>
      </w:r>
      <w:r w:rsidR="00410194">
        <w:rPr>
          <w:rFonts w:ascii="Garamond" w:hAnsi="Garamond" w:cs="Times New Roman"/>
          <w:lang w:val="en-US"/>
        </w:rPr>
        <w:t>“</w:t>
      </w:r>
      <w:r w:rsidRPr="007C456C">
        <w:rPr>
          <w:rFonts w:ascii="Garamond" w:hAnsi="Garamond" w:cs="Times New Roman"/>
          <w:lang w:val="en-US"/>
        </w:rPr>
        <w:t>the pre-decisional working out of policy.</w:t>
      </w:r>
      <w:r w:rsidR="00410194">
        <w:rPr>
          <w:rFonts w:ascii="Garamond" w:hAnsi="Garamond" w:cs="Times New Roman"/>
          <w:lang w:val="en-US"/>
        </w:rPr>
        <w:t>”</w:t>
      </w:r>
      <w:r w:rsidRPr="007C456C">
        <w:rPr>
          <w:rFonts w:ascii="Garamond" w:hAnsi="Garamond" w:cs="Times New Roman"/>
          <w:lang w:val="en-US"/>
        </w:rPr>
        <w:t xml:space="preserve"> </w:t>
      </w:r>
      <w:r w:rsidRPr="00212218">
        <w:rPr>
          <w:rStyle w:val="Appelnotedebasdep"/>
          <w:rFonts w:ascii="Garamond" w:hAnsi="Garamond" w:cs="Times New Roman"/>
        </w:rPr>
        <w:footnoteReference w:id="85"/>
      </w:r>
      <w:r w:rsidRPr="007C456C">
        <w:rPr>
          <w:rFonts w:ascii="Garamond" w:hAnsi="Garamond" w:cs="Times New Roman"/>
          <w:lang w:val="en-US"/>
        </w:rPr>
        <w:t xml:space="preserve"> Government decision-makers argue that they ought not to be forced to work in fishbowls</w:t>
      </w:r>
      <w:r w:rsidRPr="00212218">
        <w:rPr>
          <w:rStyle w:val="Appelnotedebasdep"/>
          <w:rFonts w:ascii="Garamond" w:hAnsi="Garamond" w:cs="Times New Roman"/>
        </w:rPr>
        <w:footnoteReference w:id="86"/>
      </w:r>
      <w:r w:rsidRPr="007C456C">
        <w:rPr>
          <w:rFonts w:ascii="Garamond" w:hAnsi="Garamond" w:cs="Times New Roman"/>
          <w:lang w:val="en-US"/>
        </w:rPr>
        <w:t xml:space="preserve"> and should be allowed some </w:t>
      </w:r>
      <w:r w:rsidR="00410194">
        <w:rPr>
          <w:rFonts w:ascii="Garamond" w:hAnsi="Garamond" w:cs="Times New Roman"/>
          <w:lang w:val="en-US"/>
        </w:rPr>
        <w:t>“</w:t>
      </w:r>
      <w:r w:rsidRPr="007C456C">
        <w:rPr>
          <w:rFonts w:ascii="Garamond" w:hAnsi="Garamond" w:cs="Times New Roman"/>
          <w:lang w:val="en-US"/>
        </w:rPr>
        <w:t>thinking space”</w:t>
      </w:r>
      <w:r w:rsidRPr="00212218">
        <w:rPr>
          <w:rStyle w:val="Appelnotedebasdep"/>
          <w:rFonts w:ascii="Garamond" w:hAnsi="Garamond" w:cs="Times New Roman"/>
        </w:rPr>
        <w:footnoteReference w:id="87"/>
      </w:r>
      <w:r w:rsidRPr="007C456C">
        <w:rPr>
          <w:rFonts w:ascii="Garamond" w:hAnsi="Garamond" w:cs="Times New Roman"/>
          <w:lang w:val="en-US"/>
        </w:rPr>
        <w:t xml:space="preserve"> before they release material to the public. </w:t>
      </w:r>
      <w:r w:rsidR="00975542" w:rsidRPr="007C456C">
        <w:rPr>
          <w:rFonts w:ascii="Garamond" w:hAnsi="Garamond" w:cs="Times New Roman"/>
          <w:lang w:val="en-US"/>
        </w:rPr>
        <w:br/>
      </w:r>
      <w:r w:rsidRPr="003F6A60">
        <w:rPr>
          <w:rFonts w:ascii="Garamond" w:hAnsi="Garamond" w:cs="Times New Roman"/>
          <w:lang w:val="en-US"/>
        </w:rPr>
        <w:t>Under the Australian Federal FOI legislation:</w:t>
      </w:r>
    </w:p>
    <w:p w14:paraId="0D4DFEC9" w14:textId="172264A2" w:rsidR="00252A51" w:rsidRPr="003F6A60" w:rsidRDefault="00410194" w:rsidP="009A13B4">
      <w:pPr>
        <w:ind w:left="567"/>
        <w:rPr>
          <w:rFonts w:ascii="Garamond" w:hAnsi="Garamond" w:cs="Times New Roman"/>
          <w:lang w:val="en-US"/>
        </w:rPr>
      </w:pPr>
      <w:r>
        <w:rPr>
          <w:rFonts w:ascii="Garamond" w:hAnsi="Garamond" w:cs="Times New Roman"/>
          <w:lang w:val="en-US"/>
        </w:rPr>
        <w:t>“</w:t>
      </w:r>
      <w:r w:rsidR="00252A51" w:rsidRPr="003F6A60">
        <w:rPr>
          <w:rFonts w:ascii="Garamond" w:hAnsi="Garamond" w:cs="Times New Roman"/>
          <w:lang w:val="en-US"/>
        </w:rPr>
        <w:t>A document is conditionally exempt if its disclosure under this Act would disclose matter (</w:t>
      </w:r>
      <w:r w:rsidR="00252A51" w:rsidRPr="003F6A60">
        <w:rPr>
          <w:rFonts w:ascii="Garamond" w:hAnsi="Garamond" w:cs="Times New Roman"/>
          <w:i/>
          <w:lang w:val="en-US"/>
        </w:rPr>
        <w:t>deliberative matter</w:t>
      </w:r>
      <w:r w:rsidR="00252A51" w:rsidRPr="003F6A60">
        <w:rPr>
          <w:rFonts w:ascii="Garamond" w:hAnsi="Garamond" w:cs="Times New Roman"/>
          <w:lang w:val="en-US"/>
        </w:rPr>
        <w:t xml:space="preserve">) in the nature </w:t>
      </w:r>
      <w:r w:rsidR="00252A51" w:rsidRPr="003F6A60">
        <w:rPr>
          <w:rFonts w:ascii="Garamond" w:hAnsi="Garamond" w:cs="Times New Roman"/>
          <w:lang w:val="en-US"/>
        </w:rPr>
        <w:lastRenderedPageBreak/>
        <w:t>of, or relating to, opinion, advice or recommendation obtained, prepared or recorded, or consultation or deliberation that has taken place, in the course of, or for the purposes of, the deliberative processes involved in the functions of [a government agency or Minister].”</w:t>
      </w:r>
      <w:r w:rsidR="00252A51" w:rsidRPr="00212218">
        <w:rPr>
          <w:rStyle w:val="Appelnotedebasdep"/>
          <w:rFonts w:ascii="Garamond" w:hAnsi="Garamond" w:cs="Times New Roman"/>
        </w:rPr>
        <w:footnoteReference w:id="88"/>
      </w:r>
    </w:p>
    <w:p w14:paraId="24C96874" w14:textId="21B67693" w:rsidR="00252A51" w:rsidRPr="009A13B4" w:rsidRDefault="00252A51" w:rsidP="009A13B4">
      <w:pPr>
        <w:rPr>
          <w:rFonts w:ascii="Garamond" w:hAnsi="Garamond" w:cs="Times New Roman"/>
          <w:spacing w:val="-4"/>
          <w:lang w:val="en-US"/>
        </w:rPr>
      </w:pPr>
      <w:r w:rsidRPr="007C456C">
        <w:rPr>
          <w:rFonts w:ascii="Garamond" w:hAnsi="Garamond" w:cs="Times New Roman"/>
          <w:lang w:val="en-US"/>
        </w:rPr>
        <w:t>As a conditional exemption, access must generally be given unless disclosure would be contrary to the public interest.</w:t>
      </w:r>
      <w:r w:rsidRPr="00212218">
        <w:rPr>
          <w:rStyle w:val="Appelnotedebasdep"/>
          <w:rFonts w:ascii="Garamond" w:hAnsi="Garamond" w:cs="Times New Roman"/>
        </w:rPr>
        <w:footnoteReference w:id="89"/>
      </w:r>
      <w:r w:rsidRPr="007C456C">
        <w:rPr>
          <w:rFonts w:ascii="Garamond" w:hAnsi="Garamond" w:cs="Times New Roman"/>
          <w:lang w:val="en-US"/>
        </w:rPr>
        <w:t xml:space="preserve"> </w:t>
      </w:r>
      <w:r w:rsidRPr="003F6A60">
        <w:rPr>
          <w:rFonts w:ascii="Garamond" w:hAnsi="Garamond" w:cs="Times New Roman"/>
          <w:lang w:val="en-US"/>
        </w:rPr>
        <w:t xml:space="preserve">There is a clear public interest in disclosure, and sometimes a competing public interest in the effective and efficient administration of government that requires the early stages of government decision-making and policy development to be undertaken in confidence. </w:t>
      </w:r>
      <w:r w:rsidRPr="007C456C">
        <w:rPr>
          <w:rFonts w:ascii="Garamond" w:hAnsi="Garamond" w:cs="Times New Roman"/>
          <w:lang w:val="en-US"/>
        </w:rPr>
        <w:t xml:space="preserve">How these competing public interests ought to be balanced has long been a contentious question. </w:t>
      </w:r>
      <w:r w:rsidR="00975542" w:rsidRPr="007C456C">
        <w:rPr>
          <w:rFonts w:ascii="Garamond" w:hAnsi="Garamond" w:cs="Times New Roman"/>
          <w:lang w:val="en-US"/>
        </w:rPr>
        <w:tab/>
      </w:r>
      <w:r w:rsidR="00975542" w:rsidRPr="007C456C">
        <w:rPr>
          <w:rFonts w:ascii="Garamond" w:hAnsi="Garamond" w:cs="Times New Roman"/>
          <w:lang w:val="en-US"/>
        </w:rPr>
        <w:br/>
      </w:r>
      <w:r w:rsidRPr="007C456C">
        <w:rPr>
          <w:rFonts w:ascii="Garamond" w:hAnsi="Garamond" w:cs="Times New Roman"/>
          <w:lang w:val="en-US"/>
        </w:rPr>
        <w:t>Tensions surrounding the confidentiality of the decision-making processes of government are not easily resolved because it can be difficult to disentangle protected public interests from political and personal interests. Does a claim to secrecy protect the process or protect the reputations of the participants?</w:t>
      </w:r>
      <w:r w:rsidRPr="00212218">
        <w:rPr>
          <w:rStyle w:val="Appelnotedebasdep"/>
          <w:rFonts w:ascii="Garamond" w:hAnsi="Garamond" w:cs="Times New Roman"/>
        </w:rPr>
        <w:footnoteReference w:id="90"/>
      </w:r>
      <w:r w:rsidRPr="007C456C">
        <w:rPr>
          <w:rFonts w:ascii="Garamond" w:hAnsi="Garamond" w:cs="Times New Roman"/>
          <w:lang w:val="en-US"/>
        </w:rPr>
        <w:t xml:space="preserve"> </w:t>
      </w:r>
      <w:r w:rsidRPr="003F6A60">
        <w:rPr>
          <w:rFonts w:ascii="Garamond" w:hAnsi="Garamond" w:cs="Times New Roman"/>
          <w:lang w:val="en-US"/>
        </w:rPr>
        <w:t xml:space="preserve">Most freedom of information exemptions require consideration of the damage that public release of particular information might cause. </w:t>
      </w:r>
      <w:r w:rsidRPr="007C456C">
        <w:rPr>
          <w:rFonts w:ascii="Garamond" w:hAnsi="Garamond" w:cs="Times New Roman"/>
          <w:lang w:val="en-US"/>
        </w:rPr>
        <w:t xml:space="preserve">Exemptions are expressed in terms of likelihood of harm, or involve a weighing of public interests that includes quantifying the harm that public release may cause. For example, could an ongoing police investigation be jeopardised? Could sensitive security information be disclosed thereby causing damage to the defence of the nation? Might an individual be harmed by disclosure of personal information? However, the deliberative documents exemption refers simply to the </w:t>
      </w:r>
      <w:r w:rsidR="00410194">
        <w:rPr>
          <w:rFonts w:ascii="Garamond" w:hAnsi="Garamond" w:cs="Times New Roman"/>
          <w:lang w:val="en-US"/>
        </w:rPr>
        <w:t>‘</w:t>
      </w:r>
      <w:r w:rsidRPr="007C456C">
        <w:rPr>
          <w:rFonts w:ascii="Garamond" w:hAnsi="Garamond" w:cs="Times New Roman"/>
          <w:lang w:val="en-US"/>
        </w:rPr>
        <w:t>disclosure</w:t>
      </w:r>
      <w:r w:rsidR="00410194">
        <w:rPr>
          <w:rFonts w:ascii="Garamond" w:hAnsi="Garamond" w:cs="Times New Roman"/>
          <w:lang w:val="en-US"/>
        </w:rPr>
        <w:t>’</w:t>
      </w:r>
      <w:r w:rsidRPr="007C456C">
        <w:rPr>
          <w:rFonts w:ascii="Garamond" w:hAnsi="Garamond" w:cs="Times New Roman"/>
          <w:lang w:val="en-US"/>
        </w:rPr>
        <w:t xml:space="preserve"> of deliberative matter.</w:t>
      </w:r>
      <w:r w:rsidR="00975542" w:rsidRPr="007C456C">
        <w:rPr>
          <w:rFonts w:ascii="Garamond" w:hAnsi="Garamond" w:cs="Times New Roman"/>
          <w:lang w:val="en-US"/>
        </w:rPr>
        <w:tab/>
      </w:r>
      <w:r w:rsidRPr="007C456C">
        <w:rPr>
          <w:rFonts w:ascii="Garamond" w:hAnsi="Garamond" w:cs="Times New Roman"/>
          <w:lang w:val="en-US"/>
        </w:rPr>
        <w:t xml:space="preserve"> </w:t>
      </w:r>
      <w:r w:rsidR="00975542" w:rsidRPr="007C456C">
        <w:rPr>
          <w:rFonts w:ascii="Garamond" w:hAnsi="Garamond" w:cs="Times New Roman"/>
          <w:lang w:val="en-US"/>
        </w:rPr>
        <w:br/>
      </w:r>
      <w:r w:rsidRPr="007C456C">
        <w:rPr>
          <w:rFonts w:ascii="Garamond" w:hAnsi="Garamond" w:cs="Times New Roman"/>
          <w:lang w:val="en-US"/>
        </w:rPr>
        <w:t>In a review of the Australian Federal FOI legislation in 2013, the deliberative processes exemption was described as having no clearly established rationale; there seems to be no clear agreement about the harm that the exemption of this material is intended to protect against.</w:t>
      </w:r>
      <w:r w:rsidRPr="00212218">
        <w:rPr>
          <w:rStyle w:val="Appelnotedebasdep"/>
          <w:rFonts w:ascii="Garamond" w:hAnsi="Garamond" w:cs="Times New Roman"/>
        </w:rPr>
        <w:footnoteReference w:id="91"/>
      </w:r>
      <w:r w:rsidRPr="007C456C">
        <w:rPr>
          <w:rFonts w:ascii="Garamond" w:hAnsi="Garamond" w:cs="Times New Roman"/>
          <w:lang w:val="en-US"/>
        </w:rPr>
        <w:t xml:space="preserve"> </w:t>
      </w:r>
      <w:r w:rsidRPr="003F6A60">
        <w:rPr>
          <w:rFonts w:ascii="Garamond" w:hAnsi="Garamond" w:cs="Times New Roman"/>
          <w:lang w:val="en-US"/>
        </w:rPr>
        <w:t xml:space="preserve">Given that disclosure is the </w:t>
      </w:r>
      <w:r w:rsidRPr="00212218">
        <w:rPr>
          <w:rFonts w:ascii="Garamond" w:hAnsi="Garamond" w:cs="Times New Roman"/>
          <w:bCs/>
          <w:i/>
          <w:lang w:val="en-US"/>
        </w:rPr>
        <w:t>raison d</w:t>
      </w:r>
      <w:r w:rsidR="00410194">
        <w:rPr>
          <w:rFonts w:ascii="Garamond" w:hAnsi="Garamond" w:cs="Times New Roman"/>
          <w:bCs/>
          <w:i/>
          <w:lang w:val="en-US"/>
        </w:rPr>
        <w:t>’</w:t>
      </w:r>
      <w:r w:rsidRPr="00212218">
        <w:rPr>
          <w:rFonts w:ascii="Garamond" w:hAnsi="Garamond" w:cs="Times New Roman"/>
          <w:bCs/>
          <w:i/>
          <w:lang w:val="en-US"/>
        </w:rPr>
        <w:t>être</w:t>
      </w:r>
      <w:r w:rsidRPr="00212218">
        <w:rPr>
          <w:rFonts w:ascii="Garamond" w:hAnsi="Garamond" w:cs="Times New Roman"/>
          <w:bCs/>
          <w:lang w:val="en-US"/>
        </w:rPr>
        <w:t xml:space="preserve"> of freedom of information, how can that alone cause harm? Reasons given for exempting deliberative material, or at least delaying disclosure, include the belief that disclosure may undermine </w:t>
      </w:r>
      <w:r w:rsidRPr="00212218">
        <w:rPr>
          <w:rFonts w:ascii="Garamond" w:hAnsi="Garamond" w:cs="Times New Roman"/>
          <w:lang w:val="en-US"/>
        </w:rPr>
        <w:t>negotiations with third parties,</w:t>
      </w:r>
      <w:r w:rsidRPr="00212218">
        <w:rPr>
          <w:rStyle w:val="Appelnotedebasdep"/>
          <w:rFonts w:ascii="Garamond" w:hAnsi="Garamond" w:cs="Times New Roman"/>
          <w:lang w:val="en-US"/>
        </w:rPr>
        <w:footnoteReference w:id="92"/>
      </w:r>
      <w:r w:rsidRPr="00212218">
        <w:rPr>
          <w:rFonts w:ascii="Garamond" w:hAnsi="Garamond" w:cs="Times New Roman"/>
          <w:lang w:val="en-US"/>
        </w:rPr>
        <w:t xml:space="preserve"> or impact markets that are </w:t>
      </w:r>
      <w:r w:rsidRPr="00212218">
        <w:rPr>
          <w:rFonts w:ascii="Garamond" w:hAnsi="Garamond" w:cs="Times New Roman"/>
          <w:bCs/>
          <w:lang w:val="en-US"/>
        </w:rPr>
        <w:t>price sensitive,</w:t>
      </w:r>
      <w:r w:rsidRPr="00212218">
        <w:rPr>
          <w:rStyle w:val="Appelnotedebasdep"/>
          <w:rFonts w:ascii="Garamond" w:hAnsi="Garamond" w:cs="Times New Roman"/>
          <w:bCs/>
          <w:lang w:val="en-US"/>
        </w:rPr>
        <w:footnoteReference w:id="93"/>
      </w:r>
      <w:r w:rsidRPr="00212218">
        <w:rPr>
          <w:rFonts w:ascii="Garamond" w:hAnsi="Garamond" w:cs="Times New Roman"/>
          <w:bCs/>
          <w:lang w:val="en-US"/>
        </w:rPr>
        <w:t xml:space="preserve"> and most commonly that disclosure during the decision-making process </w:t>
      </w:r>
      <w:r w:rsidRPr="009A13B4">
        <w:rPr>
          <w:rFonts w:ascii="Garamond" w:hAnsi="Garamond" w:cs="Times New Roman"/>
          <w:bCs/>
          <w:spacing w:val="-4"/>
          <w:lang w:val="en-US"/>
        </w:rPr>
        <w:lastRenderedPageBreak/>
        <w:t xml:space="preserve">would </w:t>
      </w:r>
      <w:r w:rsidRPr="009A13B4">
        <w:rPr>
          <w:rFonts w:ascii="Garamond" w:hAnsi="Garamond" w:cs="Times New Roman"/>
          <w:spacing w:val="-4"/>
          <w:lang w:val="en-US"/>
        </w:rPr>
        <w:t>reduce the quality and frankness of written advice going to Ministers.</w:t>
      </w:r>
      <w:r w:rsidRPr="009A13B4">
        <w:rPr>
          <w:rStyle w:val="Appelnotedebasdep"/>
          <w:rFonts w:ascii="Garamond" w:hAnsi="Garamond" w:cs="Times New Roman"/>
          <w:spacing w:val="-4"/>
          <w:lang w:val="en-US"/>
        </w:rPr>
        <w:footnoteReference w:id="94"/>
      </w:r>
      <w:r w:rsidRPr="009A13B4">
        <w:rPr>
          <w:rFonts w:ascii="Garamond" w:hAnsi="Garamond" w:cs="Times New Roman"/>
          <w:spacing w:val="-4"/>
          <w:lang w:val="en-US"/>
        </w:rPr>
        <w:t xml:space="preserve"> </w:t>
      </w:r>
      <w:r w:rsidRPr="009A13B4">
        <w:rPr>
          <w:rFonts w:ascii="Garamond" w:hAnsi="Garamond" w:cs="Times New Roman"/>
          <w:bCs/>
          <w:spacing w:val="-4"/>
          <w:lang w:val="en-US"/>
        </w:rPr>
        <w:t xml:space="preserve">These arguments are often time sensitive and it is </w:t>
      </w:r>
      <w:r w:rsidRPr="009A13B4">
        <w:rPr>
          <w:rFonts w:ascii="Garamond" w:hAnsi="Garamond" w:cs="Times New Roman"/>
          <w:spacing w:val="-4"/>
          <w:lang w:val="en-US"/>
        </w:rPr>
        <w:t>premature disclosure of documents that is of concern.</w:t>
      </w:r>
      <w:r w:rsidRPr="009A13B4">
        <w:rPr>
          <w:rStyle w:val="Appelnotedebasdep"/>
          <w:rFonts w:ascii="Garamond" w:hAnsi="Garamond" w:cs="Times New Roman"/>
          <w:spacing w:val="-4"/>
          <w:lang w:val="en-US"/>
        </w:rPr>
        <w:footnoteReference w:id="95"/>
      </w:r>
      <w:r w:rsidR="00410194">
        <w:rPr>
          <w:rFonts w:ascii="Garamond" w:hAnsi="Garamond" w:cs="Times New Roman"/>
          <w:spacing w:val="-4"/>
          <w:lang w:val="en-US"/>
        </w:rPr>
        <w:t xml:space="preserve"> T</w:t>
      </w:r>
      <w:r w:rsidRPr="009A13B4">
        <w:rPr>
          <w:rFonts w:ascii="Garamond" w:hAnsi="Garamond" w:cs="Times New Roman"/>
          <w:spacing w:val="-4"/>
          <w:lang w:val="en-US"/>
        </w:rPr>
        <w:t xml:space="preserve">he most contentious arguments for secrecy of deliberative material are based upon claims of future harm to </w:t>
      </w:r>
      <w:r w:rsidR="00410194">
        <w:rPr>
          <w:rFonts w:ascii="Garamond" w:hAnsi="Garamond" w:cs="Times New Roman"/>
          <w:spacing w:val="-4"/>
          <w:lang w:val="en-US"/>
        </w:rPr>
        <w:t>‘</w:t>
      </w:r>
      <w:r w:rsidRPr="009A13B4">
        <w:rPr>
          <w:rFonts w:ascii="Garamond" w:hAnsi="Garamond" w:cs="Times New Roman"/>
          <w:spacing w:val="-4"/>
          <w:lang w:val="en-US"/>
        </w:rPr>
        <w:t>frankness and candour</w:t>
      </w:r>
      <w:r w:rsidR="00410194">
        <w:rPr>
          <w:rFonts w:ascii="Garamond" w:hAnsi="Garamond" w:cs="Times New Roman"/>
          <w:spacing w:val="-4"/>
          <w:lang w:val="en-US"/>
        </w:rPr>
        <w:t>’</w:t>
      </w:r>
      <w:r w:rsidRPr="009A13B4">
        <w:rPr>
          <w:rFonts w:ascii="Garamond" w:hAnsi="Garamond" w:cs="Times New Roman"/>
          <w:spacing w:val="-4"/>
          <w:lang w:val="en-US"/>
        </w:rPr>
        <w:t>.</w:t>
      </w:r>
      <w:r w:rsidRPr="009A13B4">
        <w:rPr>
          <w:rStyle w:val="Appelnotedebasdep"/>
          <w:rFonts w:ascii="Garamond" w:hAnsi="Garamond" w:cs="Times New Roman"/>
          <w:spacing w:val="-4"/>
        </w:rPr>
        <w:footnoteReference w:id="96"/>
      </w:r>
      <w:r w:rsidRPr="009A13B4">
        <w:rPr>
          <w:rFonts w:ascii="Garamond" w:hAnsi="Garamond" w:cs="Times New Roman"/>
          <w:spacing w:val="-4"/>
          <w:lang w:val="en-US"/>
        </w:rPr>
        <w:t xml:space="preserve"> Some argue that the </w:t>
      </w:r>
      <w:r w:rsidRPr="009A13B4">
        <w:rPr>
          <w:rFonts w:ascii="Garamond" w:hAnsi="Garamond" w:cs="Times New Roman"/>
          <w:color w:val="000000"/>
          <w:spacing w:val="-4"/>
          <w:lang w:val="en-US"/>
        </w:rPr>
        <w:t>quality of advice will be diminished because public servants will hold back; or that records will not be kept properly and so will be unavailable in the future.</w:t>
      </w:r>
      <w:r w:rsidRPr="009A13B4">
        <w:rPr>
          <w:rFonts w:ascii="Garamond" w:hAnsi="Garamond" w:cs="Times New Roman"/>
          <w:spacing w:val="-4"/>
          <w:lang w:val="en-US"/>
        </w:rPr>
        <w:t xml:space="preserve"> There is no doubt that the prospect of disclosure has an impact upon the way decision-making processes operate. The question is whether transparency undermines the availability of that advice, and so diminishes the decision-making process to the point that the public interest cuts against disclosure. The public service has a duty to provide frank, comprehensive advice, along with a duty to maintain good record keeping systems.</w:t>
      </w:r>
      <w:r w:rsidRPr="009A13B4">
        <w:rPr>
          <w:rStyle w:val="Appelnotedebasdep"/>
          <w:rFonts w:ascii="Garamond" w:hAnsi="Garamond" w:cs="Times New Roman"/>
          <w:spacing w:val="-4"/>
        </w:rPr>
        <w:footnoteReference w:id="97"/>
      </w:r>
      <w:r w:rsidRPr="009A13B4">
        <w:rPr>
          <w:rFonts w:ascii="Garamond" w:hAnsi="Garamond" w:cs="Times New Roman"/>
          <w:spacing w:val="-4"/>
          <w:lang w:val="en-US"/>
        </w:rPr>
        <w:t xml:space="preserve"> The idea that future public servants will ignore their statutory obligations unless they are promised confidentiality is professionally compromising. General claims of </w:t>
      </w:r>
      <w:r w:rsidRPr="009A13B4">
        <w:rPr>
          <w:rFonts w:ascii="Garamond" w:hAnsi="Garamond" w:cs="Times New Roman"/>
          <w:bCs/>
          <w:spacing w:val="-4"/>
          <w:lang w:val="en-US"/>
        </w:rPr>
        <w:t>future harm must not be allowed to turn the exemption into a wide-ranging class exemption.</w:t>
      </w:r>
      <w:r w:rsidRPr="009A13B4">
        <w:rPr>
          <w:rStyle w:val="Appelnotedebasdep"/>
          <w:rFonts w:ascii="Garamond" w:hAnsi="Garamond" w:cs="Times New Roman"/>
          <w:spacing w:val="-4"/>
        </w:rPr>
        <w:footnoteReference w:id="98"/>
      </w:r>
      <w:r w:rsidRPr="009A13B4">
        <w:rPr>
          <w:rFonts w:ascii="Garamond" w:hAnsi="Garamond" w:cs="Times New Roman"/>
          <w:bCs/>
          <w:spacing w:val="-4"/>
          <w:lang w:val="en-US"/>
        </w:rPr>
        <w:t xml:space="preserve"> </w:t>
      </w:r>
      <w:r w:rsidR="00975542" w:rsidRPr="009A13B4">
        <w:rPr>
          <w:rFonts w:ascii="Garamond" w:hAnsi="Garamond" w:cs="Times New Roman"/>
          <w:bCs/>
          <w:spacing w:val="-4"/>
          <w:lang w:val="en-US"/>
        </w:rPr>
        <w:tab/>
      </w:r>
      <w:r w:rsidR="00975542" w:rsidRPr="009A13B4">
        <w:rPr>
          <w:rFonts w:ascii="Garamond" w:hAnsi="Garamond" w:cs="Times New Roman"/>
          <w:spacing w:val="-4"/>
          <w:lang w:val="en-US"/>
        </w:rPr>
        <w:br/>
      </w:r>
      <w:r w:rsidRPr="00212218">
        <w:rPr>
          <w:rFonts w:ascii="Garamond" w:hAnsi="Garamond" w:cs="Times New Roman"/>
          <w:bCs/>
          <w:lang w:val="en-US"/>
        </w:rPr>
        <w:t>Equivocal claims of future harm aside, public disclosure of information about the development of government policy while the process is underway can influence the direction it follows, and may change the outcome. Whether or not that influence is perceived as harming the process depends very much upon the purposes ascribed to open government.</w:t>
      </w:r>
      <w:r w:rsidR="00975542">
        <w:rPr>
          <w:rFonts w:ascii="Garamond" w:hAnsi="Garamond" w:cs="Times New Roman"/>
          <w:bCs/>
          <w:lang w:val="en-US"/>
        </w:rPr>
        <w:tab/>
      </w:r>
      <w:r w:rsidR="00975542" w:rsidRPr="007C456C">
        <w:rPr>
          <w:rFonts w:ascii="Garamond" w:hAnsi="Garamond" w:cs="Times New Roman"/>
          <w:lang w:val="en-US"/>
        </w:rPr>
        <w:br/>
      </w:r>
      <w:r w:rsidRPr="007C456C">
        <w:rPr>
          <w:rFonts w:ascii="Garamond" w:hAnsi="Garamond" w:cs="Times New Roman"/>
          <w:lang w:val="en-US"/>
        </w:rPr>
        <w:t xml:space="preserve">If the underlying democratic rationale for open government is accountability, then the decision-making process can be protected, and accountability can be satisfied, by disclosure to the public after a decision has been made. At that point, executive government can be called to account through an analysis of what was done, and that can include detailed information about how a decision was made, what advice was given, what options were considered, and so forth. There will be no </w:t>
      </w:r>
      <w:r w:rsidR="00410194">
        <w:rPr>
          <w:rFonts w:ascii="Garamond" w:hAnsi="Garamond" w:cs="Times New Roman"/>
          <w:lang w:val="en-US"/>
        </w:rPr>
        <w:t>‘</w:t>
      </w:r>
      <w:r w:rsidRPr="007C456C">
        <w:rPr>
          <w:rFonts w:ascii="Garamond" w:hAnsi="Garamond" w:cs="Times New Roman"/>
          <w:lang w:val="en-US"/>
        </w:rPr>
        <w:t>harm</w:t>
      </w:r>
      <w:r w:rsidR="00410194">
        <w:rPr>
          <w:rFonts w:ascii="Garamond" w:hAnsi="Garamond" w:cs="Times New Roman"/>
          <w:lang w:val="en-US"/>
        </w:rPr>
        <w:t>’</w:t>
      </w:r>
      <w:r w:rsidRPr="007C456C">
        <w:rPr>
          <w:rFonts w:ascii="Garamond" w:hAnsi="Garamond" w:cs="Times New Roman"/>
          <w:lang w:val="en-US"/>
        </w:rPr>
        <w:t xml:space="preserve"> to the</w:t>
      </w:r>
      <w:r w:rsidR="007630A6">
        <w:rPr>
          <w:rFonts w:ascii="Garamond" w:hAnsi="Garamond" w:cs="Times New Roman"/>
          <w:lang w:val="en-US"/>
        </w:rPr>
        <w:t xml:space="preserve"> process because it is complete</w:t>
      </w:r>
      <w:r w:rsidRPr="007C456C">
        <w:rPr>
          <w:rFonts w:ascii="Garamond" w:hAnsi="Garamond" w:cs="Times New Roman"/>
          <w:lang w:val="en-US"/>
        </w:rPr>
        <w:t xml:space="preserve">. </w:t>
      </w:r>
      <w:r w:rsidRPr="003F6A60">
        <w:rPr>
          <w:rFonts w:ascii="Garamond" w:hAnsi="Garamond" w:cs="Times New Roman"/>
          <w:lang w:val="en-US"/>
        </w:rPr>
        <w:t>The decision-makers are given time and, a confidential space, to make decisions before those actions are scrutinised.</w:t>
      </w:r>
    </w:p>
    <w:p w14:paraId="61EC4C87" w14:textId="468928BF" w:rsidR="00252A51" w:rsidRPr="007C456C" w:rsidRDefault="00252A51" w:rsidP="009A13B4">
      <w:pPr>
        <w:rPr>
          <w:rFonts w:ascii="Garamond" w:hAnsi="Garamond" w:cs="Times New Roman"/>
          <w:b/>
          <w:lang w:val="en-US"/>
        </w:rPr>
      </w:pPr>
      <w:r w:rsidRPr="007C456C">
        <w:rPr>
          <w:rFonts w:ascii="Garamond" w:hAnsi="Garamond" w:cs="Times New Roman"/>
          <w:lang w:val="en-US"/>
        </w:rPr>
        <w:lastRenderedPageBreak/>
        <w:t xml:space="preserve">However, public expectations regarding the right to access government information are sometimes expressed as access in </w:t>
      </w:r>
      <w:r w:rsidR="00410194">
        <w:rPr>
          <w:rFonts w:ascii="Garamond" w:hAnsi="Garamond" w:cs="Times New Roman"/>
          <w:lang w:val="en-US"/>
        </w:rPr>
        <w:t>‘</w:t>
      </w:r>
      <w:r w:rsidRPr="007C456C">
        <w:rPr>
          <w:rFonts w:ascii="Garamond" w:hAnsi="Garamond" w:cs="Times New Roman"/>
          <w:lang w:val="en-US"/>
        </w:rPr>
        <w:t>real-time</w:t>
      </w:r>
      <w:r w:rsidR="00410194">
        <w:rPr>
          <w:rFonts w:ascii="Garamond" w:hAnsi="Garamond" w:cs="Times New Roman"/>
          <w:lang w:val="en-US"/>
        </w:rPr>
        <w:t>’</w:t>
      </w:r>
      <w:r w:rsidRPr="007C456C">
        <w:rPr>
          <w:rFonts w:ascii="Garamond" w:hAnsi="Garamond" w:cs="Times New Roman"/>
          <w:lang w:val="en-US"/>
        </w:rPr>
        <w:t xml:space="preserve"> while the process is unfolding. The Australian Information Commissioner has commented on the expectations of some FOI applicants as follows:</w:t>
      </w:r>
    </w:p>
    <w:p w14:paraId="5DB8E9C1" w14:textId="4940C9D3" w:rsidR="00252A51" w:rsidRPr="00212218" w:rsidRDefault="00410194" w:rsidP="009A13B4">
      <w:pPr>
        <w:pStyle w:val="Default"/>
        <w:ind w:left="567"/>
        <w:jc w:val="both"/>
        <w:rPr>
          <w:rFonts w:ascii="Garamond" w:hAnsi="Garamond"/>
          <w:lang w:val="en-GB"/>
        </w:rPr>
      </w:pPr>
      <w:r>
        <w:rPr>
          <w:rFonts w:ascii="Garamond" w:hAnsi="Garamond"/>
          <w:lang w:val="en-GB"/>
        </w:rPr>
        <w:t>“</w:t>
      </w:r>
      <w:r w:rsidR="00252A51" w:rsidRPr="00212218">
        <w:rPr>
          <w:rFonts w:ascii="Garamond" w:hAnsi="Garamond"/>
          <w:lang w:val="en-GB"/>
        </w:rPr>
        <w:t xml:space="preserve">The apparent assumption underlying some requests – often framed as a request for </w:t>
      </w:r>
      <w:r>
        <w:rPr>
          <w:rFonts w:ascii="Garamond" w:hAnsi="Garamond"/>
          <w:lang w:val="en-GB"/>
        </w:rPr>
        <w:t>‘</w:t>
      </w:r>
      <w:r w:rsidR="00252A51" w:rsidRPr="00212218">
        <w:rPr>
          <w:rFonts w:ascii="Garamond" w:hAnsi="Garamond"/>
          <w:lang w:val="en-GB"/>
        </w:rPr>
        <w:t>all drafts, emails, briefs and file notes</w:t>
      </w:r>
      <w:r>
        <w:rPr>
          <w:rFonts w:ascii="Garamond" w:hAnsi="Garamond"/>
          <w:lang w:val="en-GB"/>
        </w:rPr>
        <w:t>’</w:t>
      </w:r>
      <w:r w:rsidR="00252A51" w:rsidRPr="00212218">
        <w:rPr>
          <w:rFonts w:ascii="Garamond" w:hAnsi="Garamond"/>
          <w:lang w:val="en-GB"/>
        </w:rPr>
        <w:t xml:space="preserve"> – is that the requester believes they occupy a notional desk alongside the agency officer and a right instantaneously to comment upon or participate in every transaction. That is not a sustainable model for effective government in a complex age.”</w:t>
      </w:r>
      <w:r w:rsidR="00252A51" w:rsidRPr="00212218">
        <w:rPr>
          <w:rStyle w:val="Appelnotedebasdep"/>
          <w:rFonts w:ascii="Garamond" w:hAnsi="Garamond"/>
          <w:lang w:val="en-GB"/>
        </w:rPr>
        <w:footnoteReference w:id="99"/>
      </w:r>
    </w:p>
    <w:p w14:paraId="19EC731F" w14:textId="0A1E9454" w:rsidR="00252A51" w:rsidRPr="003F6A60" w:rsidRDefault="00252A51" w:rsidP="00212218">
      <w:pPr>
        <w:spacing w:after="240"/>
        <w:rPr>
          <w:rFonts w:ascii="Garamond" w:hAnsi="Garamond" w:cs="Times New Roman"/>
          <w:lang w:val="en-US"/>
        </w:rPr>
      </w:pPr>
      <w:r w:rsidRPr="003F6A60">
        <w:rPr>
          <w:rFonts w:ascii="Garamond" w:hAnsi="Garamond" w:cs="Times New Roman"/>
          <w:lang w:val="en-US"/>
        </w:rPr>
        <w:t xml:space="preserve">Although not necessarily justified in this way, claims for disclosure during the decision-making process appear to be founded upon principles of participatory democracy rather than democratic accountability. The purpose of information disclosure in this scenario is to facilitate public participation in the process, rather than to account for government actions once taken. </w:t>
      </w:r>
    </w:p>
    <w:p w14:paraId="7305BFFC" w14:textId="35E32CEA" w:rsidR="00252A51" w:rsidRPr="00212218" w:rsidRDefault="00252A51" w:rsidP="00212218">
      <w:pPr>
        <w:pStyle w:val="Titre1"/>
      </w:pPr>
      <w:bookmarkStart w:id="25" w:name="_Toc287266215"/>
      <w:bookmarkStart w:id="26" w:name="_Toc289002247"/>
      <w:r w:rsidRPr="00212218">
        <w:t>Conclusion</w:t>
      </w:r>
      <w:bookmarkEnd w:id="25"/>
      <w:bookmarkEnd w:id="26"/>
    </w:p>
    <w:p w14:paraId="22572F91" w14:textId="69F151B0" w:rsidR="00D2717A" w:rsidRDefault="00252A51" w:rsidP="00212218">
      <w:pPr>
        <w:spacing w:after="240"/>
        <w:rPr>
          <w:rFonts w:ascii="Garamond" w:hAnsi="Garamond" w:cs="Times New Roman"/>
          <w:lang w:val="en-US"/>
        </w:rPr>
      </w:pPr>
      <w:r w:rsidRPr="007C456C">
        <w:rPr>
          <w:rFonts w:ascii="Garamond" w:hAnsi="Garamond" w:cs="Times New Roman"/>
          <w:lang w:val="en-US"/>
        </w:rPr>
        <w:t>The problem of how to interpret the deliberative documents exemption will never be truly resolved until there is agreement regarding the democratic principles that underpin open government, and the role that the general public should play in the processes of government. Are we holding government to account by disclosing official information, or using information as a tool as we actively participate in the democratic process?</w:t>
      </w:r>
    </w:p>
    <w:p w14:paraId="65337025" w14:textId="77777777" w:rsidR="001D2495" w:rsidRDefault="001D2495" w:rsidP="00212218">
      <w:pPr>
        <w:spacing w:after="240"/>
        <w:rPr>
          <w:rFonts w:ascii="Garamond" w:hAnsi="Garamond" w:cs="Times New Roman"/>
          <w:lang w:val="en-US"/>
        </w:rPr>
      </w:pPr>
    </w:p>
    <w:p w14:paraId="016234AE" w14:textId="77777777" w:rsidR="001D2495" w:rsidRDefault="001D2495" w:rsidP="00212218">
      <w:pPr>
        <w:spacing w:after="240"/>
        <w:rPr>
          <w:rFonts w:ascii="Garamond" w:hAnsi="Garamond" w:cs="Times New Roman"/>
          <w:lang w:val="en-US"/>
        </w:rPr>
      </w:pPr>
    </w:p>
    <w:p w14:paraId="2F8BA6A4" w14:textId="77777777" w:rsidR="001D2495" w:rsidRDefault="001D2495" w:rsidP="00212218">
      <w:pPr>
        <w:spacing w:after="240"/>
        <w:rPr>
          <w:rFonts w:ascii="Garamond" w:hAnsi="Garamond" w:cs="Times New Roman"/>
          <w:lang w:val="en-US"/>
        </w:rPr>
      </w:pPr>
    </w:p>
    <w:p w14:paraId="1B84BA99" w14:textId="77777777" w:rsidR="001D2495" w:rsidRDefault="001D2495" w:rsidP="00212218">
      <w:pPr>
        <w:spacing w:after="240"/>
        <w:rPr>
          <w:rFonts w:ascii="Garamond" w:hAnsi="Garamond" w:cs="Times New Roman"/>
          <w:lang w:val="en-US"/>
        </w:rPr>
      </w:pPr>
    </w:p>
    <w:p w14:paraId="4DF73677" w14:textId="77777777" w:rsidR="001D2495" w:rsidRDefault="001D2495" w:rsidP="00212218">
      <w:pPr>
        <w:spacing w:after="240"/>
        <w:rPr>
          <w:rFonts w:ascii="Garamond" w:hAnsi="Garamond" w:cs="Times New Roman"/>
          <w:lang w:val="en-US"/>
        </w:rPr>
      </w:pPr>
    </w:p>
    <w:p w14:paraId="1FF1623D" w14:textId="77777777" w:rsidR="001D2495" w:rsidRDefault="001D2495" w:rsidP="00212218">
      <w:pPr>
        <w:spacing w:after="240"/>
        <w:rPr>
          <w:rFonts w:ascii="Garamond" w:hAnsi="Garamond" w:cs="Times New Roman"/>
          <w:lang w:val="en-US"/>
        </w:rPr>
      </w:pPr>
    </w:p>
    <w:p w14:paraId="0A5288A4" w14:textId="77777777" w:rsidR="001D2495" w:rsidRDefault="001D2495" w:rsidP="00212218">
      <w:pPr>
        <w:spacing w:after="240"/>
        <w:rPr>
          <w:rFonts w:ascii="Garamond" w:hAnsi="Garamond" w:cs="Times New Roman"/>
          <w:lang w:val="en-US"/>
        </w:rPr>
      </w:pPr>
    </w:p>
    <w:p w14:paraId="1B50C430" w14:textId="77777777" w:rsidR="001D2495" w:rsidRDefault="001D2495" w:rsidP="00212218">
      <w:pPr>
        <w:spacing w:after="240"/>
        <w:rPr>
          <w:rFonts w:ascii="Garamond" w:hAnsi="Garamond" w:cs="Times New Roman"/>
          <w:lang w:val="en-US"/>
        </w:rPr>
      </w:pPr>
    </w:p>
    <w:p w14:paraId="346DFA09" w14:textId="77777777" w:rsidR="001D2495" w:rsidRDefault="001D2495" w:rsidP="00212218">
      <w:pPr>
        <w:spacing w:after="240"/>
        <w:rPr>
          <w:rFonts w:ascii="Garamond" w:hAnsi="Garamond" w:cs="Times New Roman"/>
          <w:lang w:val="en-US"/>
        </w:rPr>
      </w:pPr>
    </w:p>
    <w:p w14:paraId="7A1DF00D" w14:textId="77777777" w:rsidR="001D2495" w:rsidRPr="007D7373" w:rsidRDefault="001D2495" w:rsidP="00212218">
      <w:pPr>
        <w:spacing w:after="240"/>
        <w:rPr>
          <w:rFonts w:ascii="Garamond" w:hAnsi="Garamond" w:cs="Times New Roman"/>
          <w:lang w:val="en-US"/>
        </w:rPr>
      </w:pPr>
      <w:bookmarkStart w:id="27" w:name="_GoBack"/>
      <w:bookmarkEnd w:id="27"/>
    </w:p>
    <w:sectPr w:rsidR="001D2495" w:rsidRPr="007D7373" w:rsidSect="001D2495">
      <w:headerReference w:type="default" r:id="rId8"/>
      <w:footerReference w:type="even" r:id="rId9"/>
      <w:footerReference w:type="default" r:id="rId10"/>
      <w:headerReference w:type="first" r:id="rId11"/>
      <w:footerReference w:type="first" r:id="rId12"/>
      <w:pgSz w:w="11900" w:h="16840"/>
      <w:pgMar w:top="1440" w:right="2880" w:bottom="1440" w:left="2880" w:header="708" w:footer="708" w:gutter="0"/>
      <w:pgNumType w:start="327"/>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5EE76" w14:textId="77777777" w:rsidR="00FB614D" w:rsidRDefault="00FB614D" w:rsidP="00C43FBC">
      <w:r>
        <w:separator/>
      </w:r>
    </w:p>
  </w:endnote>
  <w:endnote w:type="continuationSeparator" w:id="0">
    <w:p w14:paraId="30376722" w14:textId="77777777" w:rsidR="00FB614D" w:rsidRDefault="00FB614D" w:rsidP="00C4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Bembo">
    <w:altName w:val="Times New Roman"/>
    <w:panose1 w:val="00000000000000000000"/>
    <w:charset w:val="4D"/>
    <w:family w:val="auto"/>
    <w:notTrueType/>
    <w:pitch w:val="default"/>
    <w:sig w:usb0="03000000"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DA11F7" w:rsidRDefault="00DA11F7" w:rsidP="00DA11F7">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DA11F7" w:rsidRDefault="00DA11F7">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D7C30" w14:textId="646801B8" w:rsidR="003B6E6B" w:rsidRPr="003F6A60" w:rsidRDefault="003B6E6B" w:rsidP="003B6E6B">
    <w:pPr>
      <w:pStyle w:val="Pieddepage"/>
      <w:spacing w:before="120" w:after="120"/>
      <w:jc w:val="center"/>
      <w:rPr>
        <w:rStyle w:val="Numrodepage"/>
        <w:lang w:val="en-US"/>
      </w:rPr>
    </w:pPr>
    <w:r w:rsidRPr="003F6A60">
      <w:rPr>
        <w:rStyle w:val="Numrodepage"/>
        <w:lang w:val="en-US"/>
      </w:rPr>
      <w:t xml:space="preserve">– </w:t>
    </w:r>
    <w:r w:rsidRPr="00687E5A">
      <w:rPr>
        <w:rStyle w:val="Numrodepage"/>
      </w:rPr>
      <w:fldChar w:fldCharType="begin"/>
    </w:r>
    <w:r w:rsidRPr="003F6A60">
      <w:rPr>
        <w:rStyle w:val="Numrodepage"/>
        <w:lang w:val="en-US"/>
      </w:rPr>
      <w:instrText xml:space="preserve">PAGE  </w:instrText>
    </w:r>
    <w:r w:rsidRPr="00687E5A">
      <w:rPr>
        <w:rStyle w:val="Numrodepage"/>
      </w:rPr>
      <w:fldChar w:fldCharType="separate"/>
    </w:r>
    <w:r w:rsidR="001D2495">
      <w:rPr>
        <w:rStyle w:val="Numrodepage"/>
        <w:noProof/>
        <w:lang w:val="en-US"/>
      </w:rPr>
      <w:t>344</w:t>
    </w:r>
    <w:r w:rsidRPr="00687E5A">
      <w:rPr>
        <w:rStyle w:val="Numrodepage"/>
      </w:rPr>
      <w:fldChar w:fldCharType="end"/>
    </w:r>
    <w:r w:rsidRPr="003F6A60">
      <w:rPr>
        <w:rStyle w:val="Numrodepage"/>
        <w:lang w:val="en-US"/>
      </w:rPr>
      <w:t xml:space="preserve"> –</w:t>
    </w:r>
  </w:p>
  <w:p w14:paraId="2E91F064" w14:textId="77777777" w:rsidR="003B6E6B" w:rsidRPr="003F6A60" w:rsidRDefault="003B6E6B" w:rsidP="003B6E6B">
    <w:pPr>
      <w:pStyle w:val="Pieddepage"/>
      <w:jc w:val="center"/>
      <w:rPr>
        <w:b/>
        <w:color w:val="0070C0"/>
        <w:sz w:val="16"/>
        <w:szCs w:val="16"/>
        <w:lang w:val="en-US"/>
      </w:rPr>
    </w:pPr>
    <w:r w:rsidRPr="003F6A60">
      <w:rPr>
        <w:b/>
        <w:color w:val="0070C0"/>
        <w:sz w:val="16"/>
        <w:szCs w:val="16"/>
        <w:lang w:val="en-US"/>
      </w:rPr>
      <w:t>International Journal of Open Government</w:t>
    </w:r>
  </w:p>
  <w:p w14:paraId="407918D7" w14:textId="71F0915D" w:rsidR="00DA11F7" w:rsidRPr="003F6A60" w:rsidRDefault="00FB614D" w:rsidP="003B6E6B">
    <w:pPr>
      <w:pStyle w:val="Pieddepage"/>
      <w:jc w:val="center"/>
      <w:rPr>
        <w:i/>
        <w:color w:val="0070C0"/>
        <w:sz w:val="16"/>
        <w:szCs w:val="16"/>
        <w:lang w:val="en-US"/>
      </w:rPr>
    </w:pPr>
    <w:hyperlink r:id="rId1" w:history="1">
      <w:r w:rsidR="003B6E6B" w:rsidRPr="003F6A60">
        <w:rPr>
          <w:i/>
          <w:color w:val="0070C0"/>
          <w:sz w:val="16"/>
          <w:szCs w:val="16"/>
          <w:lang w:val="en-US"/>
        </w:rPr>
        <w:t>http://ojs.imodev.org/index.php?journal=RIGO</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3FA31" w14:textId="02F41374" w:rsidR="003B6E6B" w:rsidRPr="003F6A60" w:rsidRDefault="003B6E6B" w:rsidP="003B6E6B">
    <w:pPr>
      <w:pStyle w:val="Pieddepage"/>
      <w:spacing w:before="120" w:after="120"/>
      <w:jc w:val="center"/>
      <w:rPr>
        <w:rStyle w:val="Numrodepage"/>
        <w:lang w:val="en-US"/>
      </w:rPr>
    </w:pPr>
    <w:r w:rsidRPr="003F6A60">
      <w:rPr>
        <w:rStyle w:val="Numrodepage"/>
        <w:lang w:val="en-US"/>
      </w:rPr>
      <w:t xml:space="preserve">– </w:t>
    </w:r>
    <w:r w:rsidRPr="00687E5A">
      <w:rPr>
        <w:rStyle w:val="Numrodepage"/>
      </w:rPr>
      <w:fldChar w:fldCharType="begin"/>
    </w:r>
    <w:r w:rsidRPr="003F6A60">
      <w:rPr>
        <w:rStyle w:val="Numrodepage"/>
        <w:lang w:val="en-US"/>
      </w:rPr>
      <w:instrText xml:space="preserve">PAGE  </w:instrText>
    </w:r>
    <w:r w:rsidRPr="00687E5A">
      <w:rPr>
        <w:rStyle w:val="Numrodepage"/>
      </w:rPr>
      <w:fldChar w:fldCharType="separate"/>
    </w:r>
    <w:r w:rsidR="001D2495">
      <w:rPr>
        <w:rStyle w:val="Numrodepage"/>
        <w:noProof/>
        <w:lang w:val="en-US"/>
      </w:rPr>
      <w:t>327</w:t>
    </w:r>
    <w:r w:rsidRPr="00687E5A">
      <w:rPr>
        <w:rStyle w:val="Numrodepage"/>
      </w:rPr>
      <w:fldChar w:fldCharType="end"/>
    </w:r>
    <w:r w:rsidRPr="003F6A60">
      <w:rPr>
        <w:rStyle w:val="Numrodepage"/>
        <w:lang w:val="en-US"/>
      </w:rPr>
      <w:t xml:space="preserve"> –</w:t>
    </w:r>
  </w:p>
  <w:p w14:paraId="08522A3B" w14:textId="77777777" w:rsidR="003B6E6B" w:rsidRPr="003F6A60" w:rsidRDefault="003B6E6B" w:rsidP="003B6E6B">
    <w:pPr>
      <w:pStyle w:val="Pieddepage"/>
      <w:jc w:val="center"/>
      <w:rPr>
        <w:b/>
        <w:color w:val="0070C0"/>
        <w:sz w:val="16"/>
        <w:szCs w:val="16"/>
        <w:lang w:val="en-US"/>
      </w:rPr>
    </w:pPr>
    <w:r w:rsidRPr="003F6A60">
      <w:rPr>
        <w:b/>
        <w:color w:val="0070C0"/>
        <w:sz w:val="16"/>
        <w:szCs w:val="16"/>
        <w:lang w:val="en-US"/>
      </w:rPr>
      <w:t>International Journal of Open Government</w:t>
    </w:r>
  </w:p>
  <w:p w14:paraId="1F6F5DD2" w14:textId="6D6A2706" w:rsidR="003B6E6B" w:rsidRPr="003F6A60" w:rsidRDefault="00FB614D" w:rsidP="003B6E6B">
    <w:pPr>
      <w:pStyle w:val="Pieddepage"/>
      <w:jc w:val="center"/>
      <w:rPr>
        <w:i/>
        <w:color w:val="0070C0"/>
        <w:sz w:val="16"/>
        <w:szCs w:val="16"/>
        <w:lang w:val="en-US"/>
      </w:rPr>
    </w:pPr>
    <w:hyperlink r:id="rId1" w:history="1">
      <w:r w:rsidR="003B6E6B" w:rsidRPr="003F6A60">
        <w:rPr>
          <w:i/>
          <w:color w:val="0070C0"/>
          <w:sz w:val="16"/>
          <w:szCs w:val="16"/>
          <w:lang w:val="en-US"/>
        </w:rPr>
        <w:t>http://ojs.imodev.org/index.php?journal=RIGO</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BB038" w14:textId="77777777" w:rsidR="00FB614D" w:rsidRDefault="00FB614D" w:rsidP="00C43FBC">
      <w:r>
        <w:separator/>
      </w:r>
    </w:p>
  </w:footnote>
  <w:footnote w:type="continuationSeparator" w:id="0">
    <w:p w14:paraId="59CFAEAE" w14:textId="77777777" w:rsidR="00FB614D" w:rsidRDefault="00FB614D" w:rsidP="00C43FBC">
      <w:r>
        <w:continuationSeparator/>
      </w:r>
    </w:p>
  </w:footnote>
  <w:footnote w:id="1">
    <w:p w14:paraId="4DE7D30F" w14:textId="043D575D"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Harold Relyea, </w:t>
      </w:r>
      <w:r w:rsidRPr="003B6E6B">
        <w:rPr>
          <w:rFonts w:ascii="Garamond" w:hAnsi="Garamond"/>
          <w:i/>
          <w:iCs/>
          <w:color w:val="000000" w:themeColor="text1"/>
          <w:sz w:val="18"/>
          <w:szCs w:val="18"/>
        </w:rPr>
        <w:t xml:space="preserve">The FOIA a Decade Later, </w:t>
      </w:r>
      <w:r w:rsidRPr="003B6E6B">
        <w:rPr>
          <w:rFonts w:ascii="Garamond" w:hAnsi="Garamond"/>
          <w:color w:val="000000" w:themeColor="text1"/>
          <w:sz w:val="18"/>
          <w:szCs w:val="18"/>
        </w:rPr>
        <w:t xml:space="preserve">39 </w:t>
      </w:r>
      <w:r w:rsidRPr="007C456C">
        <w:rPr>
          <w:rFonts w:ascii="Garamond" w:hAnsi="Garamond"/>
          <w:smallCaps/>
          <w:color w:val="000000" w:themeColor="text1"/>
          <w:sz w:val="18"/>
          <w:szCs w:val="18"/>
        </w:rPr>
        <w:t>Public Administration Review</w:t>
      </w:r>
      <w:r w:rsidR="00410194">
        <w:rPr>
          <w:rFonts w:ascii="Garamond" w:hAnsi="Garamond"/>
          <w:color w:val="000000" w:themeColor="text1"/>
          <w:sz w:val="18"/>
          <w:szCs w:val="18"/>
        </w:rPr>
        <w:t> </w:t>
      </w:r>
      <w:r w:rsidRPr="003B6E6B">
        <w:rPr>
          <w:rFonts w:ascii="Garamond" w:hAnsi="Garamond"/>
          <w:color w:val="000000" w:themeColor="text1"/>
          <w:sz w:val="18"/>
          <w:szCs w:val="18"/>
        </w:rPr>
        <w:t xml:space="preserve">310 </w:t>
      </w:r>
      <w:r w:rsidRPr="003B6E6B">
        <w:rPr>
          <w:rFonts w:ascii="Garamond" w:hAnsi="Garamond"/>
          <w:iCs/>
          <w:color w:val="000000" w:themeColor="text1"/>
          <w:sz w:val="18"/>
          <w:szCs w:val="18"/>
        </w:rPr>
        <w:t>(1979)</w:t>
      </w:r>
      <w:r w:rsidRPr="003B6E6B">
        <w:rPr>
          <w:rFonts w:ascii="Garamond" w:hAnsi="Garamond"/>
          <w:color w:val="000000" w:themeColor="text1"/>
          <w:sz w:val="18"/>
          <w:szCs w:val="18"/>
        </w:rPr>
        <w:t xml:space="preserve">; Samuel Archibald, </w:t>
      </w:r>
      <w:r w:rsidRPr="003B6E6B">
        <w:rPr>
          <w:rFonts w:ascii="Garamond" w:hAnsi="Garamond"/>
          <w:i/>
          <w:color w:val="000000" w:themeColor="text1"/>
          <w:sz w:val="18"/>
          <w:szCs w:val="18"/>
        </w:rPr>
        <w:t>The Freedom of Information Act revisited</w:t>
      </w:r>
      <w:r w:rsidRPr="003B6E6B">
        <w:rPr>
          <w:rFonts w:ascii="Garamond" w:hAnsi="Garamond"/>
          <w:color w:val="000000" w:themeColor="text1"/>
          <w:sz w:val="18"/>
          <w:szCs w:val="18"/>
        </w:rPr>
        <w:t xml:space="preserve">, 39 </w:t>
      </w:r>
      <w:r w:rsidRPr="007C456C">
        <w:rPr>
          <w:rFonts w:ascii="Garamond" w:hAnsi="Garamond"/>
          <w:smallCaps/>
          <w:color w:val="000000" w:themeColor="text1"/>
          <w:sz w:val="18"/>
          <w:szCs w:val="18"/>
        </w:rPr>
        <w:t>Public Administration Review</w:t>
      </w:r>
      <w:r w:rsidR="00410194">
        <w:rPr>
          <w:rFonts w:ascii="Garamond" w:hAnsi="Garamond"/>
          <w:i/>
          <w:iCs/>
          <w:color w:val="000000" w:themeColor="text1"/>
          <w:sz w:val="18"/>
          <w:szCs w:val="18"/>
        </w:rPr>
        <w:t> </w:t>
      </w:r>
      <w:r w:rsidRPr="003B6E6B">
        <w:rPr>
          <w:rFonts w:ascii="Garamond" w:hAnsi="Garamond"/>
          <w:color w:val="000000" w:themeColor="text1"/>
          <w:sz w:val="18"/>
          <w:szCs w:val="18"/>
        </w:rPr>
        <w:t xml:space="preserve">311 </w:t>
      </w:r>
      <w:r w:rsidRPr="003B6E6B">
        <w:rPr>
          <w:rFonts w:ascii="Garamond" w:hAnsi="Garamond"/>
          <w:iCs/>
          <w:color w:val="000000" w:themeColor="text1"/>
          <w:sz w:val="18"/>
          <w:szCs w:val="18"/>
        </w:rPr>
        <w:t>(1979)</w:t>
      </w:r>
      <w:r w:rsidRPr="003B6E6B">
        <w:rPr>
          <w:rFonts w:ascii="Garamond" w:hAnsi="Garamond"/>
          <w:color w:val="000000" w:themeColor="text1"/>
          <w:sz w:val="18"/>
          <w:szCs w:val="18"/>
        </w:rPr>
        <w:t xml:space="preserve">. </w:t>
      </w:r>
    </w:p>
  </w:footnote>
  <w:footnote w:id="2">
    <w:p w14:paraId="5198C7A1" w14:textId="531BA589"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Alasdair Roberts, </w:t>
      </w:r>
      <w:r w:rsidRPr="007C456C">
        <w:rPr>
          <w:rFonts w:ascii="Garamond" w:hAnsi="Garamond"/>
          <w:smallCaps/>
          <w:color w:val="000000" w:themeColor="text1"/>
          <w:sz w:val="18"/>
          <w:szCs w:val="18"/>
        </w:rPr>
        <w:t>Blacked Out: Government Secrecy in the Information Age</w:t>
      </w:r>
      <w:r w:rsidRPr="003B6E6B">
        <w:rPr>
          <w:rFonts w:ascii="Garamond" w:hAnsi="Garamond"/>
          <w:color w:val="000000" w:themeColor="text1"/>
          <w:sz w:val="18"/>
          <w:szCs w:val="18"/>
        </w:rPr>
        <w:t xml:space="preserve"> (Cambridge University Press</w:t>
      </w:r>
      <w:r w:rsidR="00410194">
        <w:rPr>
          <w:rFonts w:ascii="Garamond" w:hAnsi="Garamond"/>
          <w:color w:val="000000" w:themeColor="text1"/>
          <w:sz w:val="18"/>
          <w:szCs w:val="18"/>
        </w:rPr>
        <w:t> </w:t>
      </w:r>
      <w:r w:rsidRPr="003B6E6B">
        <w:rPr>
          <w:rFonts w:ascii="Garamond" w:hAnsi="Garamond"/>
          <w:color w:val="000000" w:themeColor="text1"/>
          <w:sz w:val="18"/>
          <w:szCs w:val="18"/>
        </w:rPr>
        <w:t>2006).</w:t>
      </w:r>
    </w:p>
  </w:footnote>
  <w:footnote w:id="3">
    <w:p w14:paraId="6D2F5BE1" w14:textId="3605EC5B" w:rsidR="00252A51" w:rsidRPr="003B6E6B" w:rsidRDefault="00252A51" w:rsidP="00975542">
      <w:pPr>
        <w:pStyle w:val="Notedebasdepage"/>
        <w:jc w:val="both"/>
        <w:rPr>
          <w:rFonts w:ascii="Garamond" w:hAnsi="Garamond"/>
          <w:color w:val="000000" w:themeColor="text1"/>
          <w:sz w:val="18"/>
          <w:szCs w:val="18"/>
          <w:lang w:val="en-AU"/>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For example: </w:t>
      </w:r>
      <w:hyperlink r:id="rId1" w:history="1">
        <w:r w:rsidRPr="003B6E6B">
          <w:rPr>
            <w:rStyle w:val="Lienhypertexte"/>
            <w:rFonts w:ascii="Garamond" w:hAnsi="Garamond"/>
            <w:color w:val="000000" w:themeColor="text1"/>
            <w:sz w:val="18"/>
            <w:szCs w:val="18"/>
            <w:u w:val="none"/>
          </w:rPr>
          <w:t>www.data.gov</w:t>
        </w:r>
      </w:hyperlink>
      <w:r w:rsidRPr="003B6E6B">
        <w:rPr>
          <w:rFonts w:ascii="Garamond" w:hAnsi="Garamond"/>
          <w:color w:val="000000" w:themeColor="text1"/>
          <w:sz w:val="18"/>
          <w:szCs w:val="18"/>
        </w:rPr>
        <w:t xml:space="preserve">; </w:t>
      </w:r>
      <w:hyperlink r:id="rId2" w:history="1">
        <w:r w:rsidRPr="003B6E6B">
          <w:rPr>
            <w:rStyle w:val="Lienhypertexte"/>
            <w:rFonts w:ascii="Garamond" w:hAnsi="Garamond"/>
            <w:color w:val="000000" w:themeColor="text1"/>
            <w:sz w:val="18"/>
            <w:szCs w:val="18"/>
            <w:u w:val="none"/>
          </w:rPr>
          <w:t>www.data.gov.au</w:t>
        </w:r>
      </w:hyperlink>
      <w:r w:rsidRPr="003B6E6B">
        <w:rPr>
          <w:rFonts w:ascii="Garamond" w:hAnsi="Garamond"/>
          <w:color w:val="000000" w:themeColor="text1"/>
          <w:sz w:val="18"/>
          <w:szCs w:val="18"/>
        </w:rPr>
        <w:t xml:space="preserve">; </w:t>
      </w:r>
      <w:hyperlink r:id="rId3" w:history="1">
        <w:r w:rsidRPr="003B6E6B">
          <w:rPr>
            <w:rStyle w:val="Lienhypertexte"/>
            <w:rFonts w:ascii="Garamond" w:hAnsi="Garamond"/>
            <w:color w:val="000000" w:themeColor="text1"/>
            <w:sz w:val="18"/>
            <w:szCs w:val="18"/>
            <w:u w:val="none"/>
          </w:rPr>
          <w:t>www.data.gov.uk</w:t>
        </w:r>
      </w:hyperlink>
      <w:r w:rsidR="007C456C">
        <w:rPr>
          <w:rFonts w:ascii="Garamond" w:hAnsi="Garamond"/>
          <w:color w:val="000000" w:themeColor="text1"/>
          <w:sz w:val="18"/>
          <w:szCs w:val="18"/>
        </w:rPr>
        <w:t xml:space="preserve">. </w:t>
      </w:r>
      <w:r w:rsidRPr="003B6E6B">
        <w:rPr>
          <w:rFonts w:ascii="Garamond" w:hAnsi="Garamond"/>
          <w:color w:val="000000" w:themeColor="text1"/>
          <w:sz w:val="18"/>
          <w:szCs w:val="18"/>
        </w:rPr>
        <w:t xml:space="preserve">However, when governments choose the priorities for publication of open data sets it is the data with the potential for commercial exploitation that is often given priority over data that might be used to hold governments to account. Paul Bradshaw, </w:t>
      </w:r>
      <w:r w:rsidRPr="003B6E6B">
        <w:rPr>
          <w:rFonts w:ascii="Garamond" w:hAnsi="Garamond"/>
          <w:i/>
          <w:color w:val="000000" w:themeColor="text1"/>
          <w:sz w:val="18"/>
          <w:szCs w:val="18"/>
        </w:rPr>
        <w:t>The Transparency Opportunity: Holding Power to Account – or Making Power Accountable?</w:t>
      </w:r>
      <w:r w:rsidRPr="003B6E6B">
        <w:rPr>
          <w:rFonts w:ascii="Garamond" w:hAnsi="Garamond"/>
          <w:color w:val="000000" w:themeColor="text1"/>
          <w:sz w:val="18"/>
          <w:szCs w:val="18"/>
        </w:rPr>
        <w:t xml:space="preserve"> in</w:t>
      </w:r>
      <w:r w:rsidRPr="003B6E6B">
        <w:rPr>
          <w:rFonts w:ascii="Garamond" w:hAnsi="Garamond"/>
          <w:smallCaps/>
          <w:color w:val="000000" w:themeColor="text1"/>
          <w:sz w:val="18"/>
          <w:szCs w:val="18"/>
        </w:rPr>
        <w:t xml:space="preserve"> Transparency in Politics and the Media; Accountability and Open Government</w:t>
      </w:r>
      <w:r w:rsidR="00410194">
        <w:rPr>
          <w:rFonts w:ascii="Garamond" w:hAnsi="Garamond"/>
          <w:smallCaps/>
          <w:color w:val="000000" w:themeColor="text1"/>
          <w:sz w:val="18"/>
          <w:szCs w:val="18"/>
        </w:rPr>
        <w:t> </w:t>
      </w:r>
      <w:r w:rsidRPr="003B6E6B">
        <w:rPr>
          <w:rFonts w:ascii="Garamond" w:hAnsi="Garamond"/>
          <w:color w:val="000000" w:themeColor="text1"/>
          <w:sz w:val="18"/>
          <w:szCs w:val="18"/>
        </w:rPr>
        <w:t>141, 151</w:t>
      </w:r>
      <w:r w:rsidRPr="003B6E6B">
        <w:rPr>
          <w:rFonts w:ascii="Garamond" w:hAnsi="Garamond"/>
          <w:smallCaps/>
          <w:color w:val="000000" w:themeColor="text1"/>
          <w:sz w:val="18"/>
          <w:szCs w:val="18"/>
        </w:rPr>
        <w:t xml:space="preserve"> </w:t>
      </w:r>
      <w:r w:rsidRPr="003B6E6B">
        <w:rPr>
          <w:rFonts w:ascii="Garamond" w:hAnsi="Garamond"/>
          <w:color w:val="000000" w:themeColor="text1"/>
          <w:sz w:val="18"/>
          <w:szCs w:val="18"/>
        </w:rPr>
        <w:t>(Nigel Bowles, James Hamilton, and David Levy</w:t>
      </w:r>
      <w:r w:rsidRPr="003B6E6B">
        <w:rPr>
          <w:rFonts w:ascii="Garamond" w:hAnsi="Garamond"/>
          <w:smallCaps/>
          <w:color w:val="000000" w:themeColor="text1"/>
          <w:sz w:val="18"/>
          <w:szCs w:val="18"/>
        </w:rPr>
        <w:t xml:space="preserve"> </w:t>
      </w:r>
      <w:r w:rsidRPr="003B6E6B">
        <w:rPr>
          <w:rFonts w:ascii="Garamond" w:hAnsi="Garamond"/>
          <w:color w:val="000000" w:themeColor="text1"/>
          <w:sz w:val="18"/>
          <w:szCs w:val="18"/>
        </w:rPr>
        <w:t>eds., I.B. Tauris</w:t>
      </w:r>
      <w:r w:rsidR="00410194">
        <w:rPr>
          <w:rFonts w:ascii="Garamond" w:hAnsi="Garamond"/>
          <w:color w:val="000000" w:themeColor="text1"/>
          <w:sz w:val="18"/>
          <w:szCs w:val="18"/>
        </w:rPr>
        <w:t> </w:t>
      </w:r>
      <w:r w:rsidRPr="003B6E6B">
        <w:rPr>
          <w:rFonts w:ascii="Garamond" w:hAnsi="Garamond"/>
          <w:color w:val="000000" w:themeColor="text1"/>
          <w:sz w:val="18"/>
          <w:szCs w:val="18"/>
        </w:rPr>
        <w:t>2013).</w:t>
      </w:r>
    </w:p>
  </w:footnote>
  <w:footnote w:id="4">
    <w:p w14:paraId="4CE4B243" w14:textId="335654B1"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For an argument to keep the concepts “open government” and “open data” distinct </w:t>
      </w:r>
      <w:r w:rsidR="003F6A60">
        <w:rPr>
          <w:rFonts w:ascii="Garamond" w:hAnsi="Garamond"/>
          <w:i/>
          <w:color w:val="000000" w:themeColor="text1"/>
          <w:sz w:val="18"/>
          <w:szCs w:val="18"/>
        </w:rPr>
        <w:t>see</w:t>
      </w:r>
      <w:r w:rsidRPr="003B6E6B">
        <w:rPr>
          <w:rFonts w:ascii="Garamond" w:hAnsi="Garamond"/>
          <w:color w:val="000000" w:themeColor="text1"/>
          <w:sz w:val="18"/>
          <w:szCs w:val="18"/>
        </w:rPr>
        <w:t xml:space="preserve"> Harlan Yu and David Robinson, </w:t>
      </w:r>
      <w:r w:rsidRPr="003B6E6B">
        <w:rPr>
          <w:rFonts w:ascii="Garamond" w:hAnsi="Garamond"/>
          <w:i/>
          <w:color w:val="000000" w:themeColor="text1"/>
          <w:sz w:val="18"/>
          <w:szCs w:val="18"/>
        </w:rPr>
        <w:t xml:space="preserve">The </w:t>
      </w:r>
      <w:r w:rsidRPr="003B6E6B">
        <w:rPr>
          <w:rFonts w:ascii="Garamond" w:hAnsi="Garamond"/>
          <w:bCs/>
          <w:i/>
          <w:color w:val="000000" w:themeColor="text1"/>
          <w:sz w:val="18"/>
          <w:szCs w:val="18"/>
        </w:rPr>
        <w:t>New Ambiguity of “Open Government”</w:t>
      </w:r>
      <w:r w:rsidRPr="003B6E6B">
        <w:rPr>
          <w:rFonts w:ascii="Garamond" w:hAnsi="Garamond"/>
          <w:color w:val="000000" w:themeColor="text1"/>
          <w:sz w:val="18"/>
          <w:szCs w:val="18"/>
        </w:rPr>
        <w:t xml:space="preserve">, 59 </w:t>
      </w:r>
      <w:r w:rsidRPr="007C456C">
        <w:rPr>
          <w:rFonts w:ascii="Garamond" w:hAnsi="Garamond"/>
          <w:smallCaps/>
          <w:color w:val="000000" w:themeColor="text1"/>
          <w:sz w:val="18"/>
          <w:szCs w:val="18"/>
        </w:rPr>
        <w:t>UCLA Law Review Discourse</w:t>
      </w:r>
      <w:r w:rsidR="00410194">
        <w:rPr>
          <w:rFonts w:ascii="Garamond" w:hAnsi="Garamond"/>
          <w:color w:val="000000" w:themeColor="text1"/>
          <w:sz w:val="18"/>
          <w:szCs w:val="18"/>
        </w:rPr>
        <w:t> </w:t>
      </w:r>
      <w:r w:rsidRPr="003B6E6B">
        <w:rPr>
          <w:rFonts w:ascii="Garamond" w:hAnsi="Garamond"/>
          <w:color w:val="000000" w:themeColor="text1"/>
          <w:sz w:val="18"/>
          <w:szCs w:val="18"/>
        </w:rPr>
        <w:t>178, 181, 203 (2012). Yu and Robinson argue that “a government can provide open data on politically neutral topics even as it remains deeply opaque and unaccountable” and there is a danger that open data can “allow government officials to placate the public</w:t>
      </w:r>
      <w:r w:rsidR="00410194">
        <w:rPr>
          <w:rFonts w:ascii="Garamond" w:hAnsi="Garamond"/>
          <w:color w:val="000000" w:themeColor="text1"/>
          <w:sz w:val="18"/>
          <w:szCs w:val="18"/>
        </w:rPr>
        <w:t>’</w:t>
      </w:r>
      <w:r w:rsidRPr="003B6E6B">
        <w:rPr>
          <w:rFonts w:ascii="Garamond" w:hAnsi="Garamond"/>
          <w:color w:val="000000" w:themeColor="text1"/>
          <w:sz w:val="18"/>
          <w:szCs w:val="18"/>
        </w:rPr>
        <w:t xml:space="preserve">s appetite for accountability by providing less nourishing, politically low-impact substitutes”. </w:t>
      </w:r>
      <w:r w:rsidRPr="003B6E6B">
        <w:rPr>
          <w:rFonts w:ascii="Garamond" w:hAnsi="Garamond"/>
          <w:i/>
          <w:color w:val="000000" w:themeColor="text1"/>
          <w:sz w:val="18"/>
          <w:szCs w:val="18"/>
        </w:rPr>
        <w:t>See</w:t>
      </w:r>
      <w:r w:rsidRPr="003B6E6B">
        <w:rPr>
          <w:rFonts w:ascii="Garamond" w:hAnsi="Garamond"/>
          <w:color w:val="000000" w:themeColor="text1"/>
          <w:sz w:val="18"/>
          <w:szCs w:val="18"/>
        </w:rPr>
        <w:t xml:space="preserve"> also response by: Tiago Peixoto, </w:t>
      </w:r>
      <w:r w:rsidRPr="003B6E6B">
        <w:rPr>
          <w:rFonts w:ascii="Garamond" w:hAnsi="Garamond"/>
          <w:i/>
          <w:color w:val="000000" w:themeColor="text1"/>
          <w:sz w:val="18"/>
          <w:szCs w:val="18"/>
        </w:rPr>
        <w:t>The Uncertain Relationship Between Open Data and Accountability: A Response to Yu and Robinson</w:t>
      </w:r>
      <w:r w:rsidR="00410194">
        <w:rPr>
          <w:rFonts w:ascii="Garamond" w:hAnsi="Garamond"/>
          <w:i/>
          <w:color w:val="000000" w:themeColor="text1"/>
          <w:sz w:val="18"/>
          <w:szCs w:val="18"/>
        </w:rPr>
        <w:t>’</w:t>
      </w:r>
      <w:r w:rsidRPr="003B6E6B">
        <w:rPr>
          <w:rFonts w:ascii="Garamond" w:hAnsi="Garamond"/>
          <w:i/>
          <w:color w:val="000000" w:themeColor="text1"/>
          <w:sz w:val="18"/>
          <w:szCs w:val="18"/>
        </w:rPr>
        <w:t>s The New Ambiguity of “Open Government”,</w:t>
      </w:r>
      <w:r w:rsidRPr="003B6E6B">
        <w:rPr>
          <w:rFonts w:ascii="Garamond" w:hAnsi="Garamond"/>
          <w:color w:val="000000" w:themeColor="text1"/>
          <w:sz w:val="18"/>
          <w:szCs w:val="18"/>
        </w:rPr>
        <w:t xml:space="preserve"> 60 </w:t>
      </w:r>
      <w:r w:rsidRPr="007C456C">
        <w:rPr>
          <w:rFonts w:ascii="Garamond" w:hAnsi="Garamond"/>
          <w:smallCaps/>
          <w:color w:val="000000" w:themeColor="text1"/>
          <w:sz w:val="18"/>
          <w:szCs w:val="18"/>
        </w:rPr>
        <w:t>UCLA Law Review Discourse</w:t>
      </w:r>
      <w:r w:rsidR="00410194">
        <w:rPr>
          <w:rFonts w:ascii="Garamond" w:hAnsi="Garamond"/>
          <w:color w:val="000000" w:themeColor="text1"/>
          <w:sz w:val="18"/>
          <w:szCs w:val="18"/>
        </w:rPr>
        <w:t> </w:t>
      </w:r>
      <w:r w:rsidRPr="003B6E6B">
        <w:rPr>
          <w:rFonts w:ascii="Garamond" w:hAnsi="Garamond"/>
          <w:color w:val="000000" w:themeColor="text1"/>
          <w:sz w:val="18"/>
          <w:szCs w:val="18"/>
        </w:rPr>
        <w:t xml:space="preserve">200 (2013). </w:t>
      </w:r>
    </w:p>
  </w:footnote>
  <w:footnote w:id="5">
    <w:p w14:paraId="7C9780FD" w14:textId="0A4F2DA2" w:rsidR="00252A51" w:rsidRPr="003B6E6B" w:rsidRDefault="00252A51" w:rsidP="00975542">
      <w:pPr>
        <w:pStyle w:val="Notedebasdepage"/>
        <w:jc w:val="both"/>
        <w:rPr>
          <w:rFonts w:ascii="Garamond" w:hAnsi="Garamond"/>
          <w:color w:val="000000" w:themeColor="text1"/>
          <w:sz w:val="18"/>
          <w:szCs w:val="18"/>
          <w:lang w:val="en-AU"/>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w:t>
      </w:r>
      <w:hyperlink r:id="rId4" w:tgtFrame="_top" w:tooltip="search by Micah Sifry" w:history="1">
        <w:r w:rsidRPr="003B6E6B">
          <w:rPr>
            <w:rFonts w:ascii="Garamond" w:hAnsi="Garamond"/>
            <w:smallCaps/>
            <w:color w:val="000000" w:themeColor="text1"/>
            <w:sz w:val="18"/>
            <w:szCs w:val="18"/>
          </w:rPr>
          <w:t>Micah Sifry</w:t>
        </w:r>
      </w:hyperlink>
      <w:r w:rsidRPr="003B6E6B">
        <w:rPr>
          <w:rFonts w:ascii="Garamond" w:hAnsi="Garamond"/>
          <w:smallCaps/>
          <w:color w:val="000000" w:themeColor="text1"/>
          <w:sz w:val="18"/>
          <w:szCs w:val="18"/>
        </w:rPr>
        <w:t xml:space="preserve">, </w:t>
      </w:r>
      <w:r w:rsidRPr="003B6E6B">
        <w:rPr>
          <w:rFonts w:ascii="Garamond" w:hAnsi="Garamond"/>
          <w:smallCaps/>
          <w:color w:val="000000" w:themeColor="text1"/>
          <w:kern w:val="36"/>
          <w:sz w:val="18"/>
          <w:szCs w:val="18"/>
        </w:rPr>
        <w:t>Wikileaks and the Age of Transparency</w:t>
      </w:r>
      <w:r w:rsidRPr="003B6E6B">
        <w:rPr>
          <w:rFonts w:ascii="Garamond" w:hAnsi="Garamond"/>
          <w:color w:val="000000" w:themeColor="text1"/>
          <w:sz w:val="18"/>
          <w:szCs w:val="18"/>
        </w:rPr>
        <w:t xml:space="preserve"> (Scribe Publications</w:t>
      </w:r>
      <w:r w:rsidR="00410194">
        <w:rPr>
          <w:rFonts w:ascii="Garamond" w:hAnsi="Garamond"/>
          <w:color w:val="000000" w:themeColor="text1"/>
          <w:sz w:val="18"/>
          <w:szCs w:val="18"/>
        </w:rPr>
        <w:t> </w:t>
      </w:r>
      <w:r w:rsidRPr="003B6E6B">
        <w:rPr>
          <w:rFonts w:ascii="Garamond" w:hAnsi="Garamond"/>
          <w:color w:val="000000" w:themeColor="text1"/>
          <w:sz w:val="18"/>
          <w:szCs w:val="18"/>
        </w:rPr>
        <w:t>2011).</w:t>
      </w:r>
    </w:p>
  </w:footnote>
  <w:footnote w:id="6">
    <w:p w14:paraId="5B3C6325" w14:textId="10ABE4D3" w:rsidR="00252A51" w:rsidRPr="003B6E6B" w:rsidRDefault="00252A51" w:rsidP="00975542">
      <w:pPr>
        <w:pStyle w:val="Notedebasdepage"/>
        <w:jc w:val="both"/>
        <w:rPr>
          <w:rFonts w:ascii="Garamond" w:hAnsi="Garamond"/>
          <w:color w:val="000000" w:themeColor="text1"/>
          <w:sz w:val="18"/>
          <w:szCs w:val="18"/>
          <w:lang w:val="en-AU"/>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w:t>
      </w:r>
      <w:r w:rsidRPr="003B6E6B">
        <w:rPr>
          <w:rFonts w:ascii="Garamond" w:hAnsi="Garamond"/>
          <w:i/>
          <w:color w:val="000000" w:themeColor="text1"/>
          <w:sz w:val="18"/>
          <w:szCs w:val="18"/>
        </w:rPr>
        <w:t>See</w:t>
      </w:r>
      <w:r w:rsidRPr="003B6E6B">
        <w:rPr>
          <w:rFonts w:ascii="Garamond" w:hAnsi="Garamond"/>
          <w:color w:val="000000" w:themeColor="text1"/>
          <w:sz w:val="18"/>
          <w:szCs w:val="18"/>
        </w:rPr>
        <w:t xml:space="preserve"> </w:t>
      </w:r>
      <w:r w:rsidRPr="003B6E6B">
        <w:rPr>
          <w:rStyle w:val="xextractitalic"/>
          <w:rFonts w:ascii="Garamond" w:hAnsi="Garamond"/>
          <w:color w:val="000000" w:themeColor="text1"/>
          <w:sz w:val="18"/>
          <w:szCs w:val="18"/>
        </w:rPr>
        <w:t>Commonwealth of Australia v</w:t>
      </w:r>
      <w:r w:rsidR="007C456C">
        <w:rPr>
          <w:rStyle w:val="xextractitalic"/>
          <w:rFonts w:ascii="Garamond" w:hAnsi="Garamond"/>
          <w:color w:val="000000" w:themeColor="text1"/>
          <w:sz w:val="18"/>
          <w:szCs w:val="18"/>
        </w:rPr>
        <w:t>.</w:t>
      </w:r>
      <w:r w:rsidRPr="003B6E6B">
        <w:rPr>
          <w:rStyle w:val="xextractitalic"/>
          <w:rFonts w:ascii="Garamond" w:hAnsi="Garamond"/>
          <w:color w:val="000000" w:themeColor="text1"/>
          <w:sz w:val="18"/>
          <w:szCs w:val="18"/>
        </w:rPr>
        <w:t xml:space="preserve"> John Fairfax &amp; Sons Limited,</w:t>
      </w:r>
      <w:r w:rsidRPr="003B6E6B">
        <w:rPr>
          <w:rFonts w:ascii="Garamond" w:hAnsi="Garamond"/>
          <w:color w:val="000000" w:themeColor="text1"/>
          <w:sz w:val="18"/>
          <w:szCs w:val="18"/>
        </w:rPr>
        <w:t xml:space="preserve"> 147 CLR</w:t>
      </w:r>
      <w:r w:rsidR="00410194">
        <w:rPr>
          <w:rFonts w:ascii="Garamond" w:hAnsi="Garamond"/>
          <w:color w:val="000000" w:themeColor="text1"/>
          <w:sz w:val="18"/>
          <w:szCs w:val="18"/>
        </w:rPr>
        <w:t> </w:t>
      </w:r>
      <w:r w:rsidRPr="003B6E6B">
        <w:rPr>
          <w:rFonts w:ascii="Garamond" w:hAnsi="Garamond"/>
          <w:color w:val="000000" w:themeColor="text1"/>
          <w:sz w:val="18"/>
          <w:szCs w:val="18"/>
        </w:rPr>
        <w:t xml:space="preserve">39 (1980); </w:t>
      </w:r>
      <w:r w:rsidRPr="003B6E6B">
        <w:rPr>
          <w:rFonts w:ascii="Garamond" w:hAnsi="Garamond"/>
          <w:i/>
          <w:color w:val="000000" w:themeColor="text1"/>
          <w:sz w:val="18"/>
          <w:szCs w:val="18"/>
        </w:rPr>
        <w:t>Commonwealth v Walsh</w:t>
      </w:r>
      <w:r w:rsidR="00410194">
        <w:rPr>
          <w:rFonts w:ascii="Garamond" w:hAnsi="Garamond"/>
          <w:i/>
          <w:color w:val="000000" w:themeColor="text1"/>
          <w:sz w:val="18"/>
          <w:szCs w:val="18"/>
        </w:rPr>
        <w:t> </w:t>
      </w:r>
      <w:r w:rsidRPr="003B6E6B">
        <w:rPr>
          <w:rFonts w:ascii="Garamond" w:hAnsi="Garamond"/>
          <w:color w:val="000000" w:themeColor="text1"/>
          <w:sz w:val="18"/>
          <w:szCs w:val="18"/>
        </w:rPr>
        <w:t>147 CLR</w:t>
      </w:r>
      <w:r w:rsidR="00410194">
        <w:rPr>
          <w:rFonts w:ascii="Garamond" w:hAnsi="Garamond"/>
          <w:color w:val="000000" w:themeColor="text1"/>
          <w:sz w:val="18"/>
          <w:szCs w:val="18"/>
        </w:rPr>
        <w:t> </w:t>
      </w:r>
      <w:r w:rsidRPr="003B6E6B">
        <w:rPr>
          <w:rFonts w:ascii="Garamond" w:hAnsi="Garamond"/>
          <w:color w:val="000000" w:themeColor="text1"/>
          <w:sz w:val="18"/>
          <w:szCs w:val="18"/>
        </w:rPr>
        <w:t xml:space="preserve">61 (1980). A case involving an attempt to publish a book of leaked government documents entitled: </w:t>
      </w:r>
      <w:r w:rsidRPr="003B6E6B">
        <w:rPr>
          <w:rFonts w:ascii="Garamond" w:hAnsi="Garamond"/>
          <w:smallCaps/>
          <w:color w:val="000000" w:themeColor="text1"/>
          <w:sz w:val="18"/>
          <w:szCs w:val="18"/>
        </w:rPr>
        <w:t>Documents on Australian Defence and Foreign Policy 1968–1975</w:t>
      </w:r>
      <w:r w:rsidRPr="003B6E6B">
        <w:rPr>
          <w:rFonts w:ascii="Garamond" w:hAnsi="Garamond"/>
          <w:color w:val="000000" w:themeColor="text1"/>
          <w:sz w:val="18"/>
          <w:szCs w:val="18"/>
        </w:rPr>
        <w:t>. The lead-time for printing and distribution enabled the Federal Government to obtain High Court injunctions on the grounds of Crown copyright.</w:t>
      </w:r>
    </w:p>
  </w:footnote>
  <w:footnote w:id="7">
    <w:p w14:paraId="36B45863" w14:textId="4A481434"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w:t>
      </w:r>
      <w:r w:rsidRPr="007C456C">
        <w:rPr>
          <w:rFonts w:ascii="Garamond" w:hAnsi="Garamond"/>
          <w:i/>
          <w:color w:val="000000" w:themeColor="text1"/>
          <w:sz w:val="18"/>
          <w:szCs w:val="18"/>
        </w:rPr>
        <w:t>Osland v</w:t>
      </w:r>
      <w:r w:rsidR="007C456C">
        <w:rPr>
          <w:rFonts w:ascii="Garamond" w:hAnsi="Garamond"/>
          <w:i/>
          <w:color w:val="000000" w:themeColor="text1"/>
          <w:sz w:val="18"/>
          <w:szCs w:val="18"/>
        </w:rPr>
        <w:t>.</w:t>
      </w:r>
      <w:r w:rsidRPr="007C456C">
        <w:rPr>
          <w:rFonts w:ascii="Garamond" w:hAnsi="Garamond"/>
          <w:i/>
          <w:color w:val="000000" w:themeColor="text1"/>
          <w:sz w:val="18"/>
          <w:szCs w:val="18"/>
        </w:rPr>
        <w:t xml:space="preserve"> Secretary, Department of Justice</w:t>
      </w:r>
      <w:r w:rsidRPr="003B6E6B">
        <w:rPr>
          <w:rFonts w:ascii="Garamond" w:hAnsi="Garamond"/>
          <w:color w:val="000000" w:themeColor="text1"/>
          <w:sz w:val="18"/>
          <w:szCs w:val="18"/>
        </w:rPr>
        <w:t>, 234 CLR</w:t>
      </w:r>
      <w:r w:rsidR="00410194">
        <w:rPr>
          <w:rFonts w:ascii="Garamond" w:hAnsi="Garamond"/>
          <w:color w:val="000000" w:themeColor="text1"/>
          <w:sz w:val="18"/>
          <w:szCs w:val="18"/>
        </w:rPr>
        <w:t> </w:t>
      </w:r>
      <w:r w:rsidRPr="003B6E6B">
        <w:rPr>
          <w:rFonts w:ascii="Garamond" w:hAnsi="Garamond"/>
          <w:color w:val="000000" w:themeColor="text1"/>
          <w:sz w:val="18"/>
          <w:szCs w:val="18"/>
        </w:rPr>
        <w:t>275, 303 (2008) Kirby J.</w:t>
      </w:r>
    </w:p>
  </w:footnote>
  <w:footnote w:id="8">
    <w:p w14:paraId="3FAF8E8E" w14:textId="6869B41C" w:rsidR="00252A51" w:rsidRPr="003B6E6B" w:rsidRDefault="00252A51" w:rsidP="00975542">
      <w:pPr>
        <w:pStyle w:val="Notedebasdepage"/>
        <w:jc w:val="both"/>
        <w:rPr>
          <w:rFonts w:ascii="Garamond" w:eastAsiaTheme="minorHAnsi"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w:t>
      </w:r>
      <w:r w:rsidRPr="003B6E6B">
        <w:rPr>
          <w:rFonts w:ascii="Garamond" w:hAnsi="Garamond"/>
          <w:smallCaps/>
          <w:color w:val="000000" w:themeColor="text1"/>
          <w:sz w:val="18"/>
          <w:szCs w:val="18"/>
        </w:rPr>
        <w:t xml:space="preserve">United States. </w:t>
      </w:r>
      <w:r w:rsidRPr="003B6E6B">
        <w:rPr>
          <w:rFonts w:ascii="Garamond" w:eastAsiaTheme="minorHAnsi" w:hAnsi="Garamond"/>
          <w:smallCaps/>
          <w:color w:val="000000" w:themeColor="text1"/>
          <w:sz w:val="18"/>
          <w:szCs w:val="18"/>
        </w:rPr>
        <w:t>Office of Management and Budget (OMB)</w:t>
      </w:r>
      <w:r w:rsidRPr="003B6E6B">
        <w:rPr>
          <w:rFonts w:ascii="Garamond" w:hAnsi="Garamond"/>
          <w:smallCaps/>
          <w:color w:val="000000" w:themeColor="text1"/>
          <w:sz w:val="18"/>
          <w:szCs w:val="18"/>
        </w:rPr>
        <w:t xml:space="preserve"> Open Government Directive</w:t>
      </w:r>
      <w:r w:rsidRPr="003B6E6B">
        <w:rPr>
          <w:rFonts w:ascii="Garamond" w:hAnsi="Garamond"/>
          <w:i/>
          <w:color w:val="000000" w:themeColor="text1"/>
          <w:sz w:val="18"/>
          <w:szCs w:val="18"/>
        </w:rPr>
        <w:t xml:space="preserve"> </w:t>
      </w:r>
      <w:r w:rsidRPr="003B6E6B">
        <w:rPr>
          <w:rFonts w:ascii="Garamond" w:eastAsiaTheme="minorHAnsi" w:hAnsi="Garamond"/>
          <w:color w:val="000000" w:themeColor="text1"/>
          <w:sz w:val="18"/>
          <w:szCs w:val="18"/>
        </w:rPr>
        <w:t xml:space="preserve">(M-10-06) </w:t>
      </w:r>
      <w:r w:rsidRPr="003B6E6B">
        <w:rPr>
          <w:rFonts w:ascii="Garamond" w:hAnsi="Garamond"/>
          <w:color w:val="000000" w:themeColor="text1"/>
          <w:sz w:val="18"/>
          <w:szCs w:val="18"/>
        </w:rPr>
        <w:t>December 8, 2009.</w:t>
      </w:r>
      <w:r w:rsidR="00975542" w:rsidRPr="003B6E6B">
        <w:rPr>
          <w:rFonts w:ascii="Garamond" w:hAnsi="Garamond"/>
          <w:color w:val="000000" w:themeColor="text1"/>
          <w:sz w:val="18"/>
          <w:szCs w:val="18"/>
        </w:rPr>
        <w:t xml:space="preserve"> </w:t>
      </w:r>
      <w:r w:rsidR="00975542" w:rsidRPr="003B6E6B">
        <w:rPr>
          <w:rFonts w:ascii="Garamond" w:hAnsi="Garamond"/>
          <w:color w:val="000000" w:themeColor="text1"/>
          <w:sz w:val="18"/>
          <w:szCs w:val="18"/>
        </w:rPr>
        <w:tab/>
      </w:r>
      <w:r w:rsidRPr="003B6E6B">
        <w:rPr>
          <w:rFonts w:ascii="Garamond" w:hAnsi="Garamond"/>
          <w:color w:val="000000" w:themeColor="text1"/>
          <w:sz w:val="18"/>
          <w:szCs w:val="18"/>
        </w:rPr>
        <w:t xml:space="preserve"> </w:t>
      </w:r>
      <w:r w:rsidR="00975542" w:rsidRPr="003B6E6B">
        <w:rPr>
          <w:rFonts w:ascii="Garamond" w:hAnsi="Garamond"/>
          <w:color w:val="000000" w:themeColor="text1"/>
          <w:sz w:val="18"/>
          <w:szCs w:val="18"/>
        </w:rPr>
        <w:t xml:space="preserve"> </w:t>
      </w:r>
      <w:r w:rsidRPr="003B6E6B">
        <w:rPr>
          <w:rFonts w:ascii="Garamond" w:hAnsi="Garamond"/>
          <w:color w:val="000000" w:themeColor="text1"/>
          <w:sz w:val="18"/>
          <w:szCs w:val="18"/>
        </w:rPr>
        <w:t>http://www.whitehouse.gov/sites/default/files/omb/assets/memoranda_2010/m10-06.pdf.</w:t>
      </w:r>
    </w:p>
  </w:footnote>
  <w:footnote w:id="9">
    <w:p w14:paraId="4CFCA717" w14:textId="462D8D90" w:rsidR="00252A51" w:rsidRPr="003B6E6B" w:rsidRDefault="00252A51" w:rsidP="00975542">
      <w:pPr>
        <w:pStyle w:val="Notedebasdepage"/>
        <w:jc w:val="both"/>
        <w:rPr>
          <w:rFonts w:ascii="Garamond" w:hAnsi="Garamond"/>
          <w:color w:val="000000" w:themeColor="text1"/>
          <w:sz w:val="18"/>
          <w:szCs w:val="18"/>
          <w:lang w:val="en-AU"/>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Australia. </w:t>
      </w:r>
      <w:r w:rsidRPr="003B6E6B">
        <w:rPr>
          <w:rFonts w:ascii="Garamond" w:hAnsi="Garamond"/>
          <w:i/>
          <w:color w:val="000000" w:themeColor="text1"/>
          <w:sz w:val="18"/>
          <w:szCs w:val="18"/>
          <w:lang w:val="en-AU"/>
        </w:rPr>
        <w:t>Freedom of Information</w:t>
      </w:r>
      <w:r w:rsidR="00410194">
        <w:rPr>
          <w:rFonts w:ascii="Garamond" w:hAnsi="Garamond"/>
          <w:i/>
          <w:color w:val="000000" w:themeColor="text1"/>
          <w:sz w:val="18"/>
          <w:szCs w:val="18"/>
          <w:lang w:val="en-AU"/>
        </w:rPr>
        <w:t> </w:t>
      </w:r>
      <w:r w:rsidRPr="003B6E6B">
        <w:rPr>
          <w:rFonts w:ascii="Garamond" w:hAnsi="Garamond"/>
          <w:i/>
          <w:color w:val="000000" w:themeColor="text1"/>
          <w:sz w:val="18"/>
          <w:szCs w:val="18"/>
          <w:lang w:val="en-AU"/>
        </w:rPr>
        <w:t>1982</w:t>
      </w:r>
      <w:r w:rsidRPr="003B6E6B">
        <w:rPr>
          <w:rFonts w:ascii="Garamond" w:hAnsi="Garamond"/>
          <w:color w:val="000000" w:themeColor="text1"/>
          <w:sz w:val="18"/>
          <w:szCs w:val="18"/>
          <w:lang w:val="en-AU"/>
        </w:rPr>
        <w:t xml:space="preserve"> (Cth): </w:t>
      </w:r>
      <w:r w:rsidRPr="003B6E6B">
        <w:rPr>
          <w:rFonts w:ascii="Garamond" w:hAnsi="Garamond"/>
          <w:color w:val="000000" w:themeColor="text1"/>
          <w:sz w:val="18"/>
          <w:szCs w:val="18"/>
          <w:lang w:val="en"/>
        </w:rPr>
        <w:t>§</w:t>
      </w:r>
      <w:r w:rsidR="00410194">
        <w:rPr>
          <w:rFonts w:ascii="Garamond" w:hAnsi="Garamond"/>
          <w:color w:val="000000" w:themeColor="text1"/>
          <w:sz w:val="18"/>
          <w:szCs w:val="18"/>
          <w:lang w:val="en-AU"/>
        </w:rPr>
        <w:t> </w:t>
      </w:r>
      <w:r w:rsidRPr="003B6E6B">
        <w:rPr>
          <w:rFonts w:ascii="Garamond" w:hAnsi="Garamond"/>
          <w:color w:val="000000" w:themeColor="text1"/>
          <w:sz w:val="18"/>
          <w:szCs w:val="18"/>
          <w:lang w:val="en-AU"/>
        </w:rPr>
        <w:t>3(3) “</w:t>
      </w:r>
      <w:r w:rsidRPr="003B6E6B">
        <w:rPr>
          <w:rFonts w:ascii="Garamond" w:hAnsi="Garamond"/>
          <w:color w:val="000000" w:themeColor="text1"/>
          <w:sz w:val="18"/>
          <w:szCs w:val="18"/>
        </w:rPr>
        <w:t>The Parliament also intends, by these objects, to increase recognition that information held by the Government is to be managed for public purposes, and is a national resource”.</w:t>
      </w:r>
      <w:r w:rsidRPr="003B6E6B">
        <w:rPr>
          <w:rFonts w:ascii="Garamond" w:hAnsi="Garamond"/>
          <w:color w:val="000000" w:themeColor="text1"/>
          <w:sz w:val="18"/>
          <w:szCs w:val="18"/>
          <w:lang w:val="en-AU"/>
        </w:rPr>
        <w:t xml:space="preserve"> </w:t>
      </w:r>
      <w:r w:rsidRPr="003B6E6B">
        <w:rPr>
          <w:rFonts w:ascii="Garamond" w:hAnsi="Garamond"/>
          <w:i/>
          <w:color w:val="000000" w:themeColor="text1"/>
          <w:sz w:val="18"/>
          <w:szCs w:val="18"/>
          <w:lang w:val="en-AU"/>
        </w:rPr>
        <w:t>See</w:t>
      </w:r>
      <w:r w:rsidR="003F6A60">
        <w:rPr>
          <w:rFonts w:ascii="Garamond" w:hAnsi="Garamond"/>
          <w:color w:val="000000" w:themeColor="text1"/>
          <w:sz w:val="18"/>
          <w:szCs w:val="18"/>
          <w:lang w:val="en-AU"/>
        </w:rPr>
        <w:t xml:space="preserve"> discussion in</w:t>
      </w:r>
      <w:r w:rsidRPr="003B6E6B">
        <w:rPr>
          <w:rFonts w:ascii="Garamond" w:hAnsi="Garamond"/>
          <w:color w:val="000000" w:themeColor="text1"/>
          <w:sz w:val="18"/>
          <w:szCs w:val="18"/>
          <w:lang w:val="en-AU"/>
        </w:rPr>
        <w:t xml:space="preserve"> Judith Bannister, </w:t>
      </w:r>
      <w:r w:rsidRPr="003B6E6B">
        <w:rPr>
          <w:rFonts w:ascii="Garamond" w:hAnsi="Garamond"/>
          <w:i/>
          <w:color w:val="000000" w:themeColor="text1"/>
          <w:sz w:val="18"/>
          <w:szCs w:val="18"/>
        </w:rPr>
        <w:t xml:space="preserve">Open Government: From Crown Copyright to the Creative Commons and Culture Change, </w:t>
      </w:r>
      <w:r w:rsidRPr="003B6E6B">
        <w:rPr>
          <w:rFonts w:ascii="Garamond" w:hAnsi="Garamond"/>
          <w:color w:val="000000" w:themeColor="text1"/>
          <w:sz w:val="18"/>
          <w:szCs w:val="18"/>
        </w:rPr>
        <w:t xml:space="preserve">34 </w:t>
      </w:r>
      <w:r w:rsidRPr="003B6E6B">
        <w:rPr>
          <w:rStyle w:val="Emphase"/>
          <w:rFonts w:ascii="Garamond" w:hAnsi="Garamond"/>
          <w:color w:val="000000" w:themeColor="text1"/>
          <w:sz w:val="18"/>
          <w:szCs w:val="18"/>
        </w:rPr>
        <w:t>University of New South Wales Law Journal</w:t>
      </w:r>
      <w:r w:rsidR="00410194">
        <w:rPr>
          <w:rFonts w:ascii="Garamond" w:hAnsi="Garamond"/>
          <w:color w:val="000000" w:themeColor="text1"/>
          <w:sz w:val="18"/>
          <w:szCs w:val="18"/>
        </w:rPr>
        <w:t> </w:t>
      </w:r>
      <w:r w:rsidRPr="003B6E6B">
        <w:rPr>
          <w:rFonts w:ascii="Garamond" w:hAnsi="Garamond"/>
          <w:color w:val="000000" w:themeColor="text1"/>
          <w:sz w:val="18"/>
          <w:szCs w:val="18"/>
        </w:rPr>
        <w:t>1080 (2011).</w:t>
      </w:r>
    </w:p>
  </w:footnote>
  <w:footnote w:id="10">
    <w:p w14:paraId="13A2FE77" w14:textId="5C651E8C" w:rsidR="00252A51" w:rsidRPr="003B6E6B" w:rsidRDefault="00252A51" w:rsidP="00975542">
      <w:pPr>
        <w:pStyle w:val="Notedebasdepage"/>
        <w:jc w:val="both"/>
        <w:rPr>
          <w:rFonts w:ascii="Garamond" w:eastAsiaTheme="minorHAnsi"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w:t>
      </w:r>
      <w:r w:rsidRPr="003B6E6B">
        <w:rPr>
          <w:rFonts w:ascii="Garamond" w:eastAsiaTheme="minorHAnsi" w:hAnsi="Garamond"/>
          <w:color w:val="000000" w:themeColor="text1"/>
          <w:sz w:val="18"/>
          <w:szCs w:val="18"/>
        </w:rPr>
        <w:t xml:space="preserve">“Transparency is a term that has attained a quasi-religious significance in debate over governance and institutional design.” </w:t>
      </w:r>
      <w:r w:rsidRPr="003B6E6B">
        <w:rPr>
          <w:rFonts w:ascii="Garamond" w:hAnsi="Garamond"/>
          <w:color w:val="000000" w:themeColor="text1"/>
          <w:sz w:val="18"/>
          <w:szCs w:val="18"/>
        </w:rPr>
        <w:t xml:space="preserve">Christopher Hood, </w:t>
      </w:r>
      <w:r w:rsidRPr="003B6E6B">
        <w:rPr>
          <w:rFonts w:ascii="Garamond" w:hAnsi="Garamond"/>
          <w:i/>
          <w:color w:val="000000" w:themeColor="text1"/>
          <w:sz w:val="18"/>
          <w:szCs w:val="18"/>
        </w:rPr>
        <w:t>Transparency in Historical Perspective</w:t>
      </w:r>
      <w:r w:rsidRPr="003B6E6B">
        <w:rPr>
          <w:rFonts w:ascii="Garamond" w:hAnsi="Garamond"/>
          <w:color w:val="000000" w:themeColor="text1"/>
          <w:sz w:val="18"/>
          <w:szCs w:val="18"/>
        </w:rPr>
        <w:t xml:space="preserve"> in </w:t>
      </w:r>
      <w:r w:rsidRPr="003B6E6B">
        <w:rPr>
          <w:rFonts w:ascii="Garamond" w:hAnsi="Garamond"/>
          <w:smallCaps/>
          <w:color w:val="000000" w:themeColor="text1"/>
          <w:sz w:val="18"/>
          <w:szCs w:val="18"/>
        </w:rPr>
        <w:t xml:space="preserve">Transparency; The Key to Better Governance? </w:t>
      </w:r>
      <w:r w:rsidRPr="003B6E6B">
        <w:rPr>
          <w:rFonts w:ascii="Garamond" w:hAnsi="Garamond"/>
          <w:color w:val="000000" w:themeColor="text1"/>
          <w:sz w:val="18"/>
          <w:szCs w:val="18"/>
        </w:rPr>
        <w:t>3, 3 (Christopher Hood and David Heald eds., Oxford University Press</w:t>
      </w:r>
      <w:r w:rsidR="00410194">
        <w:rPr>
          <w:rFonts w:ascii="Garamond" w:hAnsi="Garamond"/>
          <w:color w:val="000000" w:themeColor="text1"/>
          <w:sz w:val="18"/>
          <w:szCs w:val="18"/>
        </w:rPr>
        <w:t> </w:t>
      </w:r>
      <w:r w:rsidRPr="003B6E6B">
        <w:rPr>
          <w:rFonts w:ascii="Garamond" w:hAnsi="Garamond"/>
          <w:color w:val="000000" w:themeColor="text1"/>
          <w:sz w:val="18"/>
          <w:szCs w:val="18"/>
        </w:rPr>
        <w:t>2006).</w:t>
      </w:r>
    </w:p>
  </w:footnote>
  <w:footnote w:id="11">
    <w:p w14:paraId="7B5F06F1" w14:textId="77777777" w:rsidR="00A37FC2"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Australia: Department of the Prime-Minister and Cabinet, </w:t>
      </w:r>
      <w:r w:rsidRPr="003B6E6B">
        <w:rPr>
          <w:rFonts w:ascii="Garamond" w:hAnsi="Garamond"/>
          <w:i/>
          <w:color w:val="000000" w:themeColor="text1"/>
          <w:sz w:val="18"/>
          <w:szCs w:val="18"/>
        </w:rPr>
        <w:t>FOI Guidance Notes</w:t>
      </w:r>
      <w:r w:rsidRPr="003B6E6B">
        <w:rPr>
          <w:rFonts w:ascii="Garamond" w:hAnsi="Garamond"/>
          <w:b/>
          <w:color w:val="000000" w:themeColor="text1"/>
          <w:sz w:val="18"/>
          <w:szCs w:val="18"/>
        </w:rPr>
        <w:t xml:space="preserve"> </w:t>
      </w:r>
      <w:r w:rsidR="007C456C">
        <w:rPr>
          <w:rFonts w:ascii="Garamond" w:hAnsi="Garamond"/>
          <w:color w:val="000000" w:themeColor="text1"/>
          <w:sz w:val="18"/>
          <w:szCs w:val="18"/>
        </w:rPr>
        <w:t>July 2011 [41]</w:t>
      </w:r>
      <w:r w:rsidR="00A37FC2">
        <w:rPr>
          <w:rFonts w:ascii="Garamond" w:hAnsi="Garamond"/>
          <w:color w:val="000000" w:themeColor="text1"/>
          <w:sz w:val="18"/>
          <w:szCs w:val="18"/>
        </w:rPr>
        <w:t>:</w:t>
      </w:r>
    </w:p>
    <w:p w14:paraId="6F08DE4A" w14:textId="39789760" w:rsidR="00252A51" w:rsidRPr="003B6E6B" w:rsidRDefault="00A37FC2" w:rsidP="00975542">
      <w:pPr>
        <w:pStyle w:val="Notedebasdepage"/>
        <w:jc w:val="both"/>
        <w:rPr>
          <w:rFonts w:ascii="Garamond" w:hAnsi="Garamond"/>
          <w:color w:val="000000" w:themeColor="text1"/>
          <w:sz w:val="18"/>
          <w:szCs w:val="18"/>
        </w:rPr>
      </w:pPr>
      <w:r w:rsidRPr="007630A6">
        <w:rPr>
          <w:rFonts w:ascii="Garamond" w:hAnsi="Garamond"/>
          <w:color w:val="000000" w:themeColor="text1"/>
          <w:sz w:val="18"/>
          <w:szCs w:val="18"/>
        </w:rPr>
        <w:t>http://www.ag.gov.au/RightsAndProtections/FOI/Documents/FOI Guidance Notes - Word.RTF</w:t>
      </w:r>
      <w:r>
        <w:rPr>
          <w:rFonts w:ascii="Garamond" w:hAnsi="Garamond"/>
          <w:color w:val="000000" w:themeColor="text1"/>
          <w:sz w:val="18"/>
          <w:szCs w:val="18"/>
        </w:rPr>
        <w:t>.</w:t>
      </w:r>
    </w:p>
  </w:footnote>
  <w:footnote w:id="12">
    <w:p w14:paraId="4244AC87" w14:textId="77777777"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Election statement by Prime Minister Gough Whitlam in November 1972: </w:t>
      </w:r>
      <w:r w:rsidRPr="003B6E6B">
        <w:rPr>
          <w:rFonts w:ascii="Garamond" w:hAnsi="Garamond"/>
          <w:i/>
          <w:color w:val="000000" w:themeColor="text1"/>
          <w:sz w:val="18"/>
          <w:szCs w:val="18"/>
        </w:rPr>
        <w:t>Policy Speech on Freedom of Information</w:t>
      </w:r>
      <w:r w:rsidRPr="003B6E6B">
        <w:rPr>
          <w:rFonts w:ascii="Garamond" w:hAnsi="Garamond"/>
          <w:color w:val="000000" w:themeColor="text1"/>
          <w:sz w:val="18"/>
          <w:szCs w:val="18"/>
        </w:rPr>
        <w:t>.</w:t>
      </w:r>
    </w:p>
  </w:footnote>
  <w:footnote w:id="13">
    <w:p w14:paraId="5F9B8365" w14:textId="1EFFE1D9"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Australia. Commonwealth Attorney-General’s Department, </w:t>
      </w:r>
      <w:r w:rsidRPr="003B6E6B">
        <w:rPr>
          <w:rFonts w:ascii="Garamond" w:hAnsi="Garamond"/>
          <w:i/>
          <w:color w:val="000000" w:themeColor="text1"/>
          <w:sz w:val="18"/>
          <w:szCs w:val="18"/>
        </w:rPr>
        <w:t>Proposed Freedom of Information Legislation; Report of Interdepartmental Committee</w:t>
      </w:r>
      <w:r w:rsidRPr="003B6E6B">
        <w:rPr>
          <w:rFonts w:ascii="Garamond" w:hAnsi="Garamond"/>
          <w:color w:val="000000" w:themeColor="text1"/>
          <w:sz w:val="18"/>
          <w:szCs w:val="18"/>
        </w:rPr>
        <w:t>, September 1974, 1: Cabinet Decision No.</w:t>
      </w:r>
      <w:r w:rsidR="00410194">
        <w:rPr>
          <w:rFonts w:ascii="Garamond" w:hAnsi="Garamond"/>
          <w:color w:val="000000" w:themeColor="text1"/>
          <w:sz w:val="18"/>
          <w:szCs w:val="18"/>
        </w:rPr>
        <w:t> </w:t>
      </w:r>
      <w:r w:rsidRPr="003B6E6B">
        <w:rPr>
          <w:rFonts w:ascii="Garamond" w:hAnsi="Garamond"/>
          <w:color w:val="000000" w:themeColor="text1"/>
          <w:sz w:val="18"/>
          <w:szCs w:val="18"/>
        </w:rPr>
        <w:t>30, 10 January 1973.</w:t>
      </w:r>
    </w:p>
  </w:footnote>
  <w:footnote w:id="14">
    <w:p w14:paraId="6C0C970D" w14:textId="1317C4FA"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For contemporaneous accounts </w:t>
      </w:r>
      <w:r w:rsidRPr="003B6E6B">
        <w:rPr>
          <w:rFonts w:ascii="Garamond" w:hAnsi="Garamond"/>
          <w:i/>
          <w:color w:val="000000" w:themeColor="text1"/>
          <w:sz w:val="18"/>
          <w:szCs w:val="18"/>
        </w:rPr>
        <w:t>see</w:t>
      </w:r>
      <w:r w:rsidRPr="003B6E6B">
        <w:rPr>
          <w:rFonts w:ascii="Garamond" w:hAnsi="Garamond"/>
          <w:color w:val="000000" w:themeColor="text1"/>
          <w:sz w:val="18"/>
          <w:szCs w:val="18"/>
        </w:rPr>
        <w:t xml:space="preserve"> Howard Coxon, </w:t>
      </w:r>
      <w:r w:rsidRPr="003B6E6B">
        <w:rPr>
          <w:rFonts w:ascii="Garamond" w:hAnsi="Garamond"/>
          <w:i/>
          <w:color w:val="000000" w:themeColor="text1"/>
          <w:sz w:val="18"/>
          <w:szCs w:val="18"/>
        </w:rPr>
        <w:t>The Freedom of Information Debate in Australia,</w:t>
      </w:r>
      <w:r w:rsidRPr="003B6E6B">
        <w:rPr>
          <w:rFonts w:ascii="Garamond" w:hAnsi="Garamond"/>
          <w:color w:val="000000" w:themeColor="text1"/>
          <w:sz w:val="18"/>
          <w:szCs w:val="18"/>
        </w:rPr>
        <w:t xml:space="preserve"> 8A </w:t>
      </w:r>
      <w:r w:rsidRPr="007C456C">
        <w:rPr>
          <w:rFonts w:ascii="Garamond" w:hAnsi="Garamond"/>
          <w:smallCaps/>
          <w:color w:val="000000" w:themeColor="text1"/>
          <w:sz w:val="18"/>
          <w:szCs w:val="18"/>
        </w:rPr>
        <w:t>Government Publications Review</w:t>
      </w:r>
      <w:r w:rsidRPr="003B6E6B">
        <w:rPr>
          <w:rFonts w:ascii="Garamond" w:hAnsi="Garamond"/>
          <w:color w:val="000000" w:themeColor="text1"/>
          <w:sz w:val="18"/>
          <w:szCs w:val="18"/>
        </w:rPr>
        <w:t xml:space="preserve"> 373 (1981); Alan Missen, </w:t>
      </w:r>
      <w:r w:rsidRPr="003B6E6B">
        <w:rPr>
          <w:rFonts w:ascii="Garamond" w:hAnsi="Garamond"/>
          <w:i/>
          <w:color w:val="000000" w:themeColor="text1"/>
          <w:sz w:val="18"/>
          <w:szCs w:val="18"/>
        </w:rPr>
        <w:t>The Australian Freedom of Information Act,</w:t>
      </w:r>
      <w:r w:rsidRPr="003B6E6B">
        <w:rPr>
          <w:rFonts w:ascii="Garamond" w:hAnsi="Garamond"/>
          <w:color w:val="000000" w:themeColor="text1"/>
          <w:sz w:val="18"/>
          <w:szCs w:val="18"/>
        </w:rPr>
        <w:t xml:space="preserve"> 10 </w:t>
      </w:r>
      <w:r w:rsidRPr="007C456C">
        <w:rPr>
          <w:rFonts w:ascii="Garamond" w:hAnsi="Garamond"/>
          <w:smallCaps/>
          <w:color w:val="000000" w:themeColor="text1"/>
          <w:sz w:val="18"/>
          <w:szCs w:val="18"/>
        </w:rPr>
        <w:t>Government Publications Review</w:t>
      </w:r>
      <w:r w:rsidRPr="003B6E6B">
        <w:rPr>
          <w:rFonts w:ascii="Garamond" w:hAnsi="Garamond"/>
          <w:color w:val="000000" w:themeColor="text1"/>
          <w:sz w:val="18"/>
          <w:szCs w:val="18"/>
        </w:rPr>
        <w:t xml:space="preserve"> 43 (1983). For a history of the reforms </w:t>
      </w:r>
      <w:r w:rsidR="003F6A60">
        <w:rPr>
          <w:rFonts w:ascii="Garamond" w:hAnsi="Garamond"/>
          <w:i/>
          <w:color w:val="000000" w:themeColor="text1"/>
          <w:sz w:val="18"/>
          <w:szCs w:val="18"/>
        </w:rPr>
        <w:t>see</w:t>
      </w:r>
      <w:r w:rsidRPr="003B6E6B">
        <w:rPr>
          <w:rFonts w:ascii="Garamond" w:hAnsi="Garamond"/>
          <w:color w:val="000000" w:themeColor="text1"/>
          <w:sz w:val="18"/>
          <w:szCs w:val="18"/>
        </w:rPr>
        <w:t xml:space="preserve"> </w:t>
      </w:r>
      <w:r w:rsidRPr="003B6E6B">
        <w:rPr>
          <w:rFonts w:ascii="Garamond" w:hAnsi="Garamond"/>
          <w:smallCaps/>
          <w:color w:val="000000" w:themeColor="text1"/>
          <w:sz w:val="18"/>
          <w:szCs w:val="18"/>
        </w:rPr>
        <w:t xml:space="preserve">Greg Terrill, Secrecy and Openness: The Federal Government from Menzies to Whitlam and Beyond </w:t>
      </w:r>
      <w:r w:rsidRPr="003B6E6B">
        <w:rPr>
          <w:rFonts w:ascii="Garamond" w:hAnsi="Garamond"/>
          <w:color w:val="000000" w:themeColor="text1"/>
          <w:sz w:val="18"/>
          <w:szCs w:val="18"/>
        </w:rPr>
        <w:t>(Melbourne University Press</w:t>
      </w:r>
      <w:r w:rsidR="00410194">
        <w:rPr>
          <w:rFonts w:ascii="Garamond" w:hAnsi="Garamond"/>
          <w:color w:val="000000" w:themeColor="text1"/>
          <w:sz w:val="18"/>
          <w:szCs w:val="18"/>
        </w:rPr>
        <w:t> </w:t>
      </w:r>
      <w:r w:rsidRPr="003B6E6B">
        <w:rPr>
          <w:rFonts w:ascii="Garamond" w:hAnsi="Garamond"/>
          <w:color w:val="000000" w:themeColor="text1"/>
          <w:sz w:val="18"/>
          <w:szCs w:val="18"/>
        </w:rPr>
        <w:t>2000).</w:t>
      </w:r>
    </w:p>
  </w:footnote>
  <w:footnote w:id="15">
    <w:p w14:paraId="3A0BB400" w14:textId="16245036"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U</w:t>
      </w:r>
      <w:r w:rsidR="007C456C">
        <w:rPr>
          <w:rFonts w:ascii="Garamond" w:hAnsi="Garamond"/>
          <w:color w:val="000000" w:themeColor="text1"/>
          <w:sz w:val="18"/>
          <w:szCs w:val="18"/>
        </w:rPr>
        <w:t>.</w:t>
      </w:r>
      <w:r w:rsidRPr="003B6E6B">
        <w:rPr>
          <w:rFonts w:ascii="Garamond" w:hAnsi="Garamond"/>
          <w:color w:val="000000" w:themeColor="text1"/>
          <w:sz w:val="18"/>
          <w:szCs w:val="18"/>
        </w:rPr>
        <w:t>S</w:t>
      </w:r>
      <w:r w:rsidR="007C456C">
        <w:rPr>
          <w:rFonts w:ascii="Garamond" w:hAnsi="Garamond"/>
          <w:color w:val="000000" w:themeColor="text1"/>
          <w:sz w:val="18"/>
          <w:szCs w:val="18"/>
        </w:rPr>
        <w:t>.</w:t>
      </w:r>
      <w:r w:rsidRPr="003B6E6B">
        <w:rPr>
          <w:rFonts w:ascii="Garamond" w:hAnsi="Garamond"/>
          <w:color w:val="000000" w:themeColor="text1"/>
          <w:sz w:val="18"/>
          <w:szCs w:val="18"/>
        </w:rPr>
        <w:t xml:space="preserve"> House of Representatives </w:t>
      </w:r>
      <w:r w:rsidRPr="003B6E6B">
        <w:rPr>
          <w:rFonts w:ascii="Garamond" w:hAnsi="Garamond"/>
          <w:bCs/>
          <w:color w:val="000000" w:themeColor="text1"/>
          <w:sz w:val="18"/>
          <w:szCs w:val="18"/>
        </w:rPr>
        <w:t>Report</w:t>
      </w:r>
      <w:r w:rsidRPr="003B6E6B">
        <w:rPr>
          <w:rFonts w:ascii="Garamond" w:hAnsi="Garamond"/>
          <w:b/>
          <w:bCs/>
          <w:color w:val="000000" w:themeColor="text1"/>
          <w:sz w:val="18"/>
          <w:szCs w:val="18"/>
        </w:rPr>
        <w:t xml:space="preserve"> </w:t>
      </w:r>
      <w:r w:rsidRPr="003B6E6B">
        <w:rPr>
          <w:rFonts w:ascii="Garamond" w:hAnsi="Garamond"/>
          <w:color w:val="000000" w:themeColor="text1"/>
          <w:sz w:val="18"/>
          <w:szCs w:val="18"/>
        </w:rPr>
        <w:t>No.</w:t>
      </w:r>
      <w:r w:rsidR="00410194">
        <w:rPr>
          <w:rFonts w:ascii="Garamond" w:hAnsi="Garamond"/>
          <w:color w:val="000000" w:themeColor="text1"/>
          <w:sz w:val="18"/>
          <w:szCs w:val="18"/>
        </w:rPr>
        <w:t> </w:t>
      </w:r>
      <w:r w:rsidRPr="003B6E6B">
        <w:rPr>
          <w:rFonts w:ascii="Garamond" w:hAnsi="Garamond"/>
          <w:color w:val="000000" w:themeColor="text1"/>
          <w:sz w:val="18"/>
          <w:szCs w:val="18"/>
        </w:rPr>
        <w:t xml:space="preserve">1497, 89th Congress, </w:t>
      </w:r>
      <w:r w:rsidRPr="003B6E6B">
        <w:rPr>
          <w:rFonts w:ascii="Garamond" w:hAnsi="Garamond"/>
          <w:bCs/>
          <w:color w:val="000000" w:themeColor="text1"/>
          <w:sz w:val="18"/>
          <w:szCs w:val="18"/>
        </w:rPr>
        <w:t>2</w:t>
      </w:r>
      <w:r w:rsidR="007C456C">
        <w:rPr>
          <w:rFonts w:ascii="Garamond" w:hAnsi="Garamond"/>
          <w:bCs/>
          <w:color w:val="000000" w:themeColor="text1"/>
          <w:sz w:val="18"/>
          <w:szCs w:val="18"/>
        </w:rPr>
        <w:t>n</w:t>
      </w:r>
      <w:r w:rsidRPr="003B6E6B">
        <w:rPr>
          <w:rFonts w:ascii="Garamond" w:hAnsi="Garamond"/>
          <w:bCs/>
          <w:color w:val="000000" w:themeColor="text1"/>
          <w:sz w:val="18"/>
          <w:szCs w:val="18"/>
        </w:rPr>
        <w:t>d</w:t>
      </w:r>
      <w:r w:rsidRPr="003B6E6B">
        <w:rPr>
          <w:rFonts w:ascii="Garamond" w:hAnsi="Garamond"/>
          <w:b/>
          <w:bCs/>
          <w:color w:val="000000" w:themeColor="text1"/>
          <w:sz w:val="18"/>
          <w:szCs w:val="18"/>
        </w:rPr>
        <w:t xml:space="preserve"> </w:t>
      </w:r>
      <w:r w:rsidRPr="003B6E6B">
        <w:rPr>
          <w:rFonts w:ascii="Garamond" w:hAnsi="Garamond"/>
          <w:color w:val="000000" w:themeColor="text1"/>
          <w:sz w:val="18"/>
          <w:szCs w:val="18"/>
        </w:rPr>
        <w:t xml:space="preserve">Session Clarifying and Protecting the Right of the Public to Information (1966) in </w:t>
      </w:r>
      <w:r w:rsidRPr="003B6E6B">
        <w:rPr>
          <w:rFonts w:ascii="Garamond" w:hAnsi="Garamond"/>
          <w:smallCaps/>
          <w:color w:val="000000" w:themeColor="text1"/>
          <w:sz w:val="18"/>
          <w:szCs w:val="18"/>
        </w:rPr>
        <w:t>Freedom of Information Act Sourcebook: Legislative Materials, Cases, Articles, 23</w:t>
      </w:r>
      <w:r w:rsidRPr="003B6E6B">
        <w:rPr>
          <w:rFonts w:ascii="Garamond" w:hAnsi="Garamond"/>
          <w:b/>
          <w:smallCaps/>
          <w:color w:val="000000" w:themeColor="text1"/>
          <w:sz w:val="18"/>
          <w:szCs w:val="18"/>
        </w:rPr>
        <w:t xml:space="preserve"> </w:t>
      </w:r>
      <w:r w:rsidRPr="003B6E6B">
        <w:rPr>
          <w:rFonts w:ascii="Garamond" w:hAnsi="Garamond"/>
          <w:color w:val="000000" w:themeColor="text1"/>
          <w:sz w:val="18"/>
          <w:szCs w:val="18"/>
        </w:rPr>
        <w:t>(1974). &lt;http://www.justice.gov/sites/default/files/oip/legacy/2014/07/23/Sourcebk1974Final.pdf&gt;</w:t>
      </w:r>
    </w:p>
  </w:footnote>
  <w:footnote w:id="16">
    <w:p w14:paraId="6E053B97" w14:textId="5A8686C7"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Thomas Hennings, Jr., </w:t>
      </w:r>
      <w:r w:rsidRPr="003B6E6B">
        <w:rPr>
          <w:rFonts w:ascii="Garamond" w:hAnsi="Garamond"/>
          <w:i/>
          <w:iCs/>
          <w:color w:val="000000" w:themeColor="text1"/>
          <w:sz w:val="18"/>
          <w:szCs w:val="18"/>
        </w:rPr>
        <w:t>Constitutional Law: The People</w:t>
      </w:r>
      <w:r w:rsidR="00410194">
        <w:rPr>
          <w:rFonts w:ascii="Garamond" w:hAnsi="Garamond"/>
          <w:i/>
          <w:iCs/>
          <w:color w:val="000000" w:themeColor="text1"/>
          <w:sz w:val="18"/>
          <w:szCs w:val="18"/>
        </w:rPr>
        <w:t>’</w:t>
      </w:r>
      <w:r w:rsidRPr="003B6E6B">
        <w:rPr>
          <w:rFonts w:ascii="Garamond" w:hAnsi="Garamond"/>
          <w:i/>
          <w:iCs/>
          <w:color w:val="000000" w:themeColor="text1"/>
          <w:sz w:val="18"/>
          <w:szCs w:val="18"/>
        </w:rPr>
        <w:t xml:space="preserve">s Right </w:t>
      </w:r>
      <w:r w:rsidRPr="003B6E6B">
        <w:rPr>
          <w:rFonts w:ascii="Garamond" w:hAnsi="Garamond"/>
          <w:i/>
          <w:color w:val="000000" w:themeColor="text1"/>
          <w:sz w:val="18"/>
          <w:szCs w:val="18"/>
        </w:rPr>
        <w:t xml:space="preserve">to </w:t>
      </w:r>
      <w:r w:rsidRPr="003B6E6B">
        <w:rPr>
          <w:rFonts w:ascii="Garamond" w:hAnsi="Garamond"/>
          <w:i/>
          <w:iCs/>
          <w:color w:val="000000" w:themeColor="text1"/>
          <w:sz w:val="18"/>
          <w:szCs w:val="18"/>
        </w:rPr>
        <w:t>Know,</w:t>
      </w:r>
      <w:r w:rsidRPr="003B6E6B">
        <w:rPr>
          <w:rFonts w:ascii="Garamond" w:hAnsi="Garamond"/>
          <w:iCs/>
          <w:color w:val="000000" w:themeColor="text1"/>
          <w:sz w:val="18"/>
          <w:szCs w:val="18"/>
        </w:rPr>
        <w:t xml:space="preserve"> </w:t>
      </w:r>
      <w:r w:rsidRPr="003B6E6B">
        <w:rPr>
          <w:rFonts w:ascii="Garamond" w:hAnsi="Garamond"/>
          <w:color w:val="000000" w:themeColor="text1"/>
          <w:sz w:val="18"/>
          <w:szCs w:val="18"/>
        </w:rPr>
        <w:t xml:space="preserve">45 </w:t>
      </w:r>
      <w:r w:rsidRPr="007C456C">
        <w:rPr>
          <w:rFonts w:ascii="Garamond" w:hAnsi="Garamond"/>
          <w:smallCaps/>
          <w:color w:val="000000" w:themeColor="text1"/>
          <w:sz w:val="18"/>
          <w:szCs w:val="18"/>
        </w:rPr>
        <w:t>American Bar Association Journal</w:t>
      </w:r>
      <w:r w:rsidR="00410194">
        <w:rPr>
          <w:rFonts w:ascii="Garamond" w:hAnsi="Garamond"/>
          <w:color w:val="000000" w:themeColor="text1"/>
          <w:sz w:val="18"/>
          <w:szCs w:val="18"/>
        </w:rPr>
        <w:t> </w:t>
      </w:r>
      <w:r w:rsidRPr="003B6E6B">
        <w:rPr>
          <w:rFonts w:ascii="Garamond" w:hAnsi="Garamond"/>
          <w:color w:val="000000" w:themeColor="text1"/>
          <w:sz w:val="18"/>
          <w:szCs w:val="18"/>
        </w:rPr>
        <w:t xml:space="preserve">667, 668 </w:t>
      </w:r>
      <w:r w:rsidRPr="003B6E6B">
        <w:rPr>
          <w:rFonts w:ascii="Garamond" w:hAnsi="Garamond"/>
          <w:iCs/>
          <w:color w:val="000000" w:themeColor="text1"/>
          <w:sz w:val="18"/>
          <w:szCs w:val="18"/>
        </w:rPr>
        <w:t>(1959)</w:t>
      </w:r>
      <w:r w:rsidRPr="003B6E6B">
        <w:rPr>
          <w:rFonts w:ascii="Garamond" w:hAnsi="Garamond"/>
          <w:color w:val="000000" w:themeColor="text1"/>
          <w:sz w:val="18"/>
          <w:szCs w:val="18"/>
        </w:rPr>
        <w:t>.</w:t>
      </w:r>
    </w:p>
  </w:footnote>
  <w:footnote w:id="17">
    <w:p w14:paraId="59CBF6A8" w14:textId="3F5A7C1B" w:rsidR="00252A51" w:rsidRPr="003B6E6B" w:rsidRDefault="00252A51" w:rsidP="00A37FC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w:t>
      </w:r>
      <w:r w:rsidR="007C456C" w:rsidRPr="003B6E6B">
        <w:rPr>
          <w:rFonts w:ascii="Garamond" w:hAnsi="Garamond"/>
          <w:color w:val="000000" w:themeColor="text1"/>
          <w:sz w:val="18"/>
          <w:szCs w:val="18"/>
        </w:rPr>
        <w:t>U</w:t>
      </w:r>
      <w:r w:rsidR="007C456C">
        <w:rPr>
          <w:rFonts w:ascii="Garamond" w:hAnsi="Garamond"/>
          <w:color w:val="000000" w:themeColor="text1"/>
          <w:sz w:val="18"/>
          <w:szCs w:val="18"/>
        </w:rPr>
        <w:t>.</w:t>
      </w:r>
      <w:r w:rsidR="007C456C" w:rsidRPr="003B6E6B">
        <w:rPr>
          <w:rFonts w:ascii="Garamond" w:hAnsi="Garamond"/>
          <w:color w:val="000000" w:themeColor="text1"/>
          <w:sz w:val="18"/>
          <w:szCs w:val="18"/>
        </w:rPr>
        <w:t>S</w:t>
      </w:r>
      <w:r w:rsidR="007C456C">
        <w:rPr>
          <w:rFonts w:ascii="Garamond" w:hAnsi="Garamond"/>
          <w:color w:val="000000" w:themeColor="text1"/>
          <w:sz w:val="18"/>
          <w:szCs w:val="18"/>
        </w:rPr>
        <w:t>.</w:t>
      </w:r>
      <w:r w:rsidR="007C456C" w:rsidRPr="003B6E6B">
        <w:rPr>
          <w:rFonts w:ascii="Garamond" w:hAnsi="Garamond"/>
          <w:color w:val="000000" w:themeColor="text1"/>
          <w:sz w:val="18"/>
          <w:szCs w:val="18"/>
        </w:rPr>
        <w:t xml:space="preserve"> House of Representatives </w:t>
      </w:r>
      <w:r w:rsidR="007C456C" w:rsidRPr="003B6E6B">
        <w:rPr>
          <w:rFonts w:ascii="Garamond" w:hAnsi="Garamond"/>
          <w:bCs/>
          <w:color w:val="000000" w:themeColor="text1"/>
          <w:sz w:val="18"/>
          <w:szCs w:val="18"/>
        </w:rPr>
        <w:t>Report</w:t>
      </w:r>
      <w:r w:rsidR="007C456C" w:rsidRPr="003B6E6B">
        <w:rPr>
          <w:rFonts w:ascii="Garamond" w:hAnsi="Garamond"/>
          <w:b/>
          <w:bCs/>
          <w:color w:val="000000" w:themeColor="text1"/>
          <w:sz w:val="18"/>
          <w:szCs w:val="18"/>
        </w:rPr>
        <w:t xml:space="preserve"> </w:t>
      </w:r>
      <w:r w:rsidR="007C456C" w:rsidRPr="003B6E6B">
        <w:rPr>
          <w:rFonts w:ascii="Garamond" w:hAnsi="Garamond"/>
          <w:color w:val="000000" w:themeColor="text1"/>
          <w:sz w:val="18"/>
          <w:szCs w:val="18"/>
        </w:rPr>
        <w:t>No.</w:t>
      </w:r>
      <w:r w:rsidR="00410194">
        <w:rPr>
          <w:rFonts w:ascii="Garamond" w:hAnsi="Garamond"/>
          <w:color w:val="000000" w:themeColor="text1"/>
          <w:sz w:val="18"/>
          <w:szCs w:val="18"/>
        </w:rPr>
        <w:t> </w:t>
      </w:r>
      <w:r w:rsidR="007C456C" w:rsidRPr="003B6E6B">
        <w:rPr>
          <w:rFonts w:ascii="Garamond" w:hAnsi="Garamond"/>
          <w:color w:val="000000" w:themeColor="text1"/>
          <w:sz w:val="18"/>
          <w:szCs w:val="18"/>
        </w:rPr>
        <w:t xml:space="preserve">1497, 89th Congress, </w:t>
      </w:r>
      <w:r w:rsidR="007C456C" w:rsidRPr="003B6E6B">
        <w:rPr>
          <w:rFonts w:ascii="Garamond" w:hAnsi="Garamond"/>
          <w:bCs/>
          <w:color w:val="000000" w:themeColor="text1"/>
          <w:sz w:val="18"/>
          <w:szCs w:val="18"/>
        </w:rPr>
        <w:t>2</w:t>
      </w:r>
      <w:r w:rsidR="007C456C">
        <w:rPr>
          <w:rFonts w:ascii="Garamond" w:hAnsi="Garamond"/>
          <w:bCs/>
          <w:color w:val="000000" w:themeColor="text1"/>
          <w:sz w:val="18"/>
          <w:szCs w:val="18"/>
        </w:rPr>
        <w:t>n</w:t>
      </w:r>
      <w:r w:rsidR="007C456C" w:rsidRPr="003B6E6B">
        <w:rPr>
          <w:rFonts w:ascii="Garamond" w:hAnsi="Garamond"/>
          <w:bCs/>
          <w:color w:val="000000" w:themeColor="text1"/>
          <w:sz w:val="18"/>
          <w:szCs w:val="18"/>
        </w:rPr>
        <w:t>d</w:t>
      </w:r>
      <w:r w:rsidR="007C456C" w:rsidRPr="003B6E6B">
        <w:rPr>
          <w:rFonts w:ascii="Garamond" w:hAnsi="Garamond"/>
          <w:b/>
          <w:bCs/>
          <w:color w:val="000000" w:themeColor="text1"/>
          <w:sz w:val="18"/>
          <w:szCs w:val="18"/>
        </w:rPr>
        <w:t xml:space="preserve"> </w:t>
      </w:r>
      <w:r w:rsidR="007C456C" w:rsidRPr="003B6E6B">
        <w:rPr>
          <w:rFonts w:ascii="Garamond" w:hAnsi="Garamond"/>
          <w:color w:val="000000" w:themeColor="text1"/>
          <w:sz w:val="18"/>
          <w:szCs w:val="18"/>
        </w:rPr>
        <w:t xml:space="preserve">Session Clarifying and Protecting the Right of the Public to Information (1966) in </w:t>
      </w:r>
      <w:r w:rsidR="007C456C" w:rsidRPr="003B6E6B">
        <w:rPr>
          <w:rFonts w:ascii="Garamond" w:hAnsi="Garamond"/>
          <w:smallCaps/>
          <w:color w:val="000000" w:themeColor="text1"/>
          <w:sz w:val="18"/>
          <w:szCs w:val="18"/>
        </w:rPr>
        <w:t xml:space="preserve">Freedom of Information Act Sourcebook: Legislative Materials, Cases, Articles, 23 </w:t>
      </w:r>
      <w:r w:rsidR="007C456C" w:rsidRPr="003B6E6B">
        <w:rPr>
          <w:rFonts w:ascii="Garamond" w:hAnsi="Garamond"/>
          <w:color w:val="000000" w:themeColor="text1"/>
          <w:sz w:val="18"/>
          <w:szCs w:val="18"/>
        </w:rPr>
        <w:t>(1974). &lt;http://www.justice.gov/sites/default/files/oip/legacy/2014/07/23/Sourcebk1974Final.pdf&gt;</w:t>
      </w:r>
    </w:p>
  </w:footnote>
  <w:footnote w:id="18">
    <w:p w14:paraId="00C26CF7" w14:textId="0E4CE8A4" w:rsidR="00252A51" w:rsidRPr="003B6E6B" w:rsidRDefault="00252A51" w:rsidP="00A37FC2">
      <w:pPr>
        <w:pStyle w:val="Normalweb"/>
        <w:spacing w:before="0" w:beforeAutospacing="0" w:after="0" w:afterAutospacing="0" w:line="240" w:lineRule="auto"/>
        <w:jc w:val="both"/>
        <w:rPr>
          <w:rFonts w:ascii="Garamond" w:hAnsi="Garamond"/>
          <w:color w:val="000000" w:themeColor="text1"/>
          <w:sz w:val="18"/>
          <w:szCs w:val="18"/>
        </w:rPr>
      </w:pPr>
      <w:r w:rsidRPr="00A37FC2">
        <w:rPr>
          <w:rStyle w:val="Appelnotedebasdep"/>
          <w:rFonts w:ascii="Garamond" w:hAnsi="Garamond"/>
          <w:color w:val="000000" w:themeColor="text1"/>
          <w:sz w:val="18"/>
          <w:szCs w:val="18"/>
        </w:rPr>
        <w:footnoteRef/>
      </w:r>
      <w:r w:rsidR="007C456C" w:rsidRPr="00A37FC2">
        <w:rPr>
          <w:rStyle w:val="NotedebasdepageCar"/>
          <w:rFonts w:ascii="Garamond" w:hAnsi="Garamond"/>
          <w:i/>
          <w:color w:val="000000" w:themeColor="text1"/>
          <w:sz w:val="18"/>
          <w:szCs w:val="18"/>
        </w:rPr>
        <w:t xml:space="preserve"> Ibid</w:t>
      </w:r>
      <w:r w:rsidR="007C456C" w:rsidRPr="00A37FC2">
        <w:rPr>
          <w:rFonts w:ascii="Garamond" w:hAnsi="Garamond"/>
          <w:color w:val="000000" w:themeColor="text1"/>
          <w:sz w:val="18"/>
          <w:szCs w:val="18"/>
        </w:rPr>
        <w:t xml:space="preserve"> </w:t>
      </w:r>
      <w:r w:rsidR="007C456C" w:rsidRPr="00A37FC2">
        <w:rPr>
          <w:rFonts w:ascii="Garamond" w:hAnsi="Garamond"/>
          <w:color w:val="000000" w:themeColor="text1"/>
          <w:sz w:val="18"/>
          <w:szCs w:val="18"/>
          <w:lang w:val="en-US"/>
        </w:rPr>
        <w:t>49.</w:t>
      </w:r>
    </w:p>
  </w:footnote>
  <w:footnote w:id="19">
    <w:p w14:paraId="0E77C0B1" w14:textId="5CB8EDAF" w:rsidR="007C456C" w:rsidRDefault="00252A51" w:rsidP="00A37FC2">
      <w:pPr>
        <w:pStyle w:val="Notedebasdepage"/>
        <w:jc w:val="both"/>
        <w:rPr>
          <w:rFonts w:ascii="Garamond" w:eastAsiaTheme="minorHAnsi" w:hAnsi="Garamond"/>
          <w:color w:val="000000" w:themeColor="text1"/>
          <w:sz w:val="18"/>
          <w:szCs w:val="18"/>
        </w:rPr>
      </w:pPr>
      <w:r w:rsidRPr="003B6E6B">
        <w:rPr>
          <w:rStyle w:val="Appelnotedebasdep"/>
          <w:rFonts w:ascii="Garamond" w:hAnsi="Garamond"/>
          <w:color w:val="000000" w:themeColor="text1"/>
          <w:sz w:val="18"/>
          <w:szCs w:val="18"/>
        </w:rPr>
        <w:footnoteRef/>
      </w:r>
      <w:r w:rsidR="003F6A60">
        <w:rPr>
          <w:rFonts w:ascii="Garamond" w:hAnsi="Garamond"/>
          <w:color w:val="000000" w:themeColor="text1"/>
          <w:sz w:val="18"/>
          <w:szCs w:val="18"/>
        </w:rPr>
        <w:t> </w:t>
      </w:r>
      <w:r w:rsidR="007C456C" w:rsidRPr="003B6E6B">
        <w:rPr>
          <w:rFonts w:ascii="Garamond" w:hAnsi="Garamond"/>
          <w:color w:val="000000" w:themeColor="text1"/>
          <w:sz w:val="18"/>
          <w:szCs w:val="18"/>
        </w:rPr>
        <w:t xml:space="preserve">For an international study </w:t>
      </w:r>
      <w:r w:rsidR="007C456C" w:rsidRPr="003B6E6B">
        <w:rPr>
          <w:rFonts w:ascii="Garamond" w:hAnsi="Garamond"/>
          <w:i/>
          <w:color w:val="000000" w:themeColor="text1"/>
          <w:sz w:val="18"/>
          <w:szCs w:val="18"/>
        </w:rPr>
        <w:t>see</w:t>
      </w:r>
      <w:r w:rsidR="007C456C" w:rsidRPr="003B6E6B">
        <w:rPr>
          <w:rFonts w:ascii="Garamond" w:hAnsi="Garamond"/>
          <w:color w:val="000000" w:themeColor="text1"/>
          <w:sz w:val="18"/>
          <w:szCs w:val="18"/>
        </w:rPr>
        <w:t xml:space="preserve"> </w:t>
      </w:r>
      <w:r w:rsidR="007C456C" w:rsidRPr="003B6E6B">
        <w:rPr>
          <w:rFonts w:ascii="Garamond" w:hAnsi="Garamond"/>
          <w:smallCaps/>
          <w:color w:val="000000" w:themeColor="text1"/>
          <w:sz w:val="18"/>
          <w:szCs w:val="18"/>
        </w:rPr>
        <w:t xml:space="preserve">Toby Mendel, </w:t>
      </w:r>
      <w:r w:rsidR="007C456C" w:rsidRPr="003B6E6B">
        <w:rPr>
          <w:rFonts w:ascii="Garamond" w:eastAsiaTheme="minorHAnsi" w:hAnsi="Garamond"/>
          <w:smallCaps/>
          <w:color w:val="000000" w:themeColor="text1"/>
          <w:sz w:val="18"/>
          <w:szCs w:val="18"/>
        </w:rPr>
        <w:t xml:space="preserve">Freedom of Information: </w:t>
      </w:r>
      <w:r w:rsidR="007C456C" w:rsidRPr="003B6E6B">
        <w:rPr>
          <w:rFonts w:ascii="Garamond" w:hAnsi="Garamond"/>
          <w:smallCaps/>
          <w:color w:val="000000" w:themeColor="text1"/>
          <w:sz w:val="18"/>
          <w:szCs w:val="18"/>
        </w:rPr>
        <w:t>A Comparative Legal Survey</w:t>
      </w:r>
      <w:r w:rsidR="007C456C" w:rsidRPr="003B6E6B">
        <w:rPr>
          <w:rFonts w:ascii="Garamond" w:hAnsi="Garamond"/>
          <w:bCs/>
          <w:color w:val="000000" w:themeColor="text1"/>
          <w:sz w:val="18"/>
          <w:szCs w:val="18"/>
        </w:rPr>
        <w:t xml:space="preserve"> (</w:t>
      </w:r>
      <w:r w:rsidR="007C456C" w:rsidRPr="003B6E6B">
        <w:rPr>
          <w:rFonts w:ascii="Garamond" w:eastAsiaTheme="minorHAnsi" w:hAnsi="Garamond"/>
          <w:color w:val="000000" w:themeColor="text1"/>
          <w:sz w:val="18"/>
          <w:szCs w:val="18"/>
        </w:rPr>
        <w:t>UNESCO Paris</w:t>
      </w:r>
      <w:r w:rsidR="00410194">
        <w:rPr>
          <w:rFonts w:ascii="Garamond" w:eastAsiaTheme="minorHAnsi" w:hAnsi="Garamond"/>
          <w:color w:val="000000" w:themeColor="text1"/>
          <w:sz w:val="18"/>
          <w:szCs w:val="18"/>
        </w:rPr>
        <w:t> </w:t>
      </w:r>
      <w:r w:rsidR="007C456C" w:rsidRPr="003B6E6B">
        <w:rPr>
          <w:rFonts w:ascii="Garamond" w:eastAsiaTheme="minorHAnsi" w:hAnsi="Garamond"/>
          <w:color w:val="000000" w:themeColor="text1"/>
          <w:sz w:val="18"/>
          <w:szCs w:val="18"/>
        </w:rPr>
        <w:t>2008)</w:t>
      </w:r>
      <w:r w:rsidR="003F6A60">
        <w:rPr>
          <w:rFonts w:ascii="Garamond" w:eastAsiaTheme="minorHAnsi" w:hAnsi="Garamond"/>
          <w:color w:val="000000" w:themeColor="text1"/>
          <w:sz w:val="18"/>
          <w:szCs w:val="18"/>
        </w:rPr>
        <w:t>:</w:t>
      </w:r>
    </w:p>
    <w:p w14:paraId="3DDB02B8" w14:textId="23280D56" w:rsidR="00252A51" w:rsidRPr="003B6E6B" w:rsidRDefault="007C456C" w:rsidP="007C456C">
      <w:pPr>
        <w:pStyle w:val="Notedebasdepage"/>
        <w:jc w:val="both"/>
        <w:rPr>
          <w:rFonts w:ascii="Garamond" w:eastAsiaTheme="minorHAnsi" w:hAnsi="Garamond"/>
          <w:color w:val="000000" w:themeColor="text1"/>
          <w:sz w:val="18"/>
          <w:szCs w:val="18"/>
        </w:rPr>
      </w:pPr>
      <w:r w:rsidRPr="003B6E6B">
        <w:rPr>
          <w:rFonts w:ascii="Garamond" w:hAnsi="Garamond"/>
          <w:bCs/>
          <w:color w:val="000000" w:themeColor="text1"/>
          <w:sz w:val="18"/>
          <w:szCs w:val="18"/>
        </w:rPr>
        <w:t>&lt;</w:t>
      </w:r>
      <w:hyperlink r:id="rId5" w:history="1">
        <w:r w:rsidRPr="003B6E6B">
          <w:rPr>
            <w:rStyle w:val="Lienhypertexte"/>
            <w:rFonts w:ascii="Garamond" w:hAnsi="Garamond"/>
            <w:color w:val="000000" w:themeColor="text1"/>
            <w:sz w:val="18"/>
            <w:szCs w:val="18"/>
            <w:u w:val="none"/>
          </w:rPr>
          <w:t>http://portal.unesco.org/ci/en/files/26159/12054862803freedom_information_en.pdf/freedom_information_en.pdf</w:t>
        </w:r>
      </w:hyperlink>
      <w:r w:rsidRPr="003B6E6B">
        <w:rPr>
          <w:rFonts w:ascii="Garamond" w:hAnsi="Garamond"/>
          <w:color w:val="000000" w:themeColor="text1"/>
          <w:sz w:val="18"/>
          <w:szCs w:val="18"/>
        </w:rPr>
        <w:t xml:space="preserve">&gt; </w:t>
      </w:r>
      <w:r w:rsidRPr="003B6E6B">
        <w:rPr>
          <w:rFonts w:ascii="Garamond" w:hAnsi="Garamond"/>
          <w:bCs/>
          <w:color w:val="000000" w:themeColor="text1"/>
          <w:sz w:val="18"/>
          <w:szCs w:val="18"/>
        </w:rPr>
        <w:t xml:space="preserve">141. </w:t>
      </w:r>
      <w:r w:rsidRPr="003B6E6B">
        <w:rPr>
          <w:rFonts w:ascii="Garamond" w:hAnsi="Garamond"/>
          <w:color w:val="000000" w:themeColor="text1"/>
          <w:sz w:val="18"/>
          <w:szCs w:val="18"/>
        </w:rPr>
        <w:t xml:space="preserve">Common </w:t>
      </w:r>
      <w:r w:rsidRPr="003B6E6B">
        <w:rPr>
          <w:rFonts w:ascii="Garamond" w:eastAsiaTheme="minorHAnsi" w:hAnsi="Garamond"/>
          <w:color w:val="000000" w:themeColor="text1"/>
          <w:sz w:val="18"/>
          <w:szCs w:val="18"/>
        </w:rPr>
        <w:t xml:space="preserve">principles governing </w:t>
      </w:r>
      <w:r w:rsidRPr="003B6E6B">
        <w:rPr>
          <w:rFonts w:ascii="Garamond" w:hAnsi="Garamond"/>
          <w:color w:val="000000" w:themeColor="text1"/>
          <w:sz w:val="18"/>
          <w:szCs w:val="18"/>
        </w:rPr>
        <w:t>FOI include: “</w:t>
      </w:r>
      <w:r w:rsidRPr="003B6E6B">
        <w:rPr>
          <w:rFonts w:ascii="Garamond" w:eastAsiaTheme="minorHAnsi" w:hAnsi="Garamond"/>
          <w:color w:val="000000" w:themeColor="text1"/>
          <w:sz w:val="18"/>
          <w:szCs w:val="18"/>
        </w:rPr>
        <w:t>promoting transparent, accountable and effective government, controlling corruption, fostering public participation, enhancing the ability of the public to scrutinise the exercise of public power, promoting a democratic and human rights culture and the rule of law, improving public record management, and building public understanding and an informed citizenry.”</w:t>
      </w:r>
    </w:p>
  </w:footnote>
  <w:footnote w:id="20">
    <w:p w14:paraId="16040F29" w14:textId="53B23877"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Thomas Hennings, Jr., </w:t>
      </w:r>
      <w:r w:rsidRPr="003B6E6B">
        <w:rPr>
          <w:rFonts w:ascii="Garamond" w:hAnsi="Garamond"/>
          <w:i/>
          <w:iCs/>
          <w:color w:val="000000" w:themeColor="text1"/>
          <w:sz w:val="18"/>
          <w:szCs w:val="18"/>
        </w:rPr>
        <w:t>Constitutional Law: The People</w:t>
      </w:r>
      <w:r w:rsidR="00410194">
        <w:rPr>
          <w:rFonts w:ascii="Garamond" w:hAnsi="Garamond"/>
          <w:i/>
          <w:iCs/>
          <w:color w:val="000000" w:themeColor="text1"/>
          <w:sz w:val="18"/>
          <w:szCs w:val="18"/>
        </w:rPr>
        <w:t>’</w:t>
      </w:r>
      <w:r w:rsidRPr="003B6E6B">
        <w:rPr>
          <w:rFonts w:ascii="Garamond" w:hAnsi="Garamond"/>
          <w:i/>
          <w:iCs/>
          <w:color w:val="000000" w:themeColor="text1"/>
          <w:sz w:val="18"/>
          <w:szCs w:val="18"/>
        </w:rPr>
        <w:t xml:space="preserve">s Right </w:t>
      </w:r>
      <w:r w:rsidRPr="003B6E6B">
        <w:rPr>
          <w:rFonts w:ascii="Garamond" w:hAnsi="Garamond"/>
          <w:i/>
          <w:color w:val="000000" w:themeColor="text1"/>
          <w:sz w:val="18"/>
          <w:szCs w:val="18"/>
        </w:rPr>
        <w:t xml:space="preserve">to </w:t>
      </w:r>
      <w:r w:rsidRPr="003B6E6B">
        <w:rPr>
          <w:rFonts w:ascii="Garamond" w:hAnsi="Garamond"/>
          <w:i/>
          <w:iCs/>
          <w:color w:val="000000" w:themeColor="text1"/>
          <w:sz w:val="18"/>
          <w:szCs w:val="18"/>
        </w:rPr>
        <w:t>Know,</w:t>
      </w:r>
      <w:r w:rsidRPr="003B6E6B">
        <w:rPr>
          <w:rFonts w:ascii="Garamond" w:hAnsi="Garamond"/>
          <w:iCs/>
          <w:color w:val="000000" w:themeColor="text1"/>
          <w:sz w:val="18"/>
          <w:szCs w:val="18"/>
        </w:rPr>
        <w:t xml:space="preserve"> </w:t>
      </w:r>
      <w:r w:rsidRPr="003B6E6B">
        <w:rPr>
          <w:rFonts w:ascii="Garamond" w:hAnsi="Garamond"/>
          <w:color w:val="000000" w:themeColor="text1"/>
          <w:sz w:val="18"/>
          <w:szCs w:val="18"/>
        </w:rPr>
        <w:t xml:space="preserve">45 </w:t>
      </w:r>
      <w:r w:rsidRPr="007C456C">
        <w:rPr>
          <w:rFonts w:ascii="Garamond" w:hAnsi="Garamond"/>
          <w:smallCaps/>
          <w:color w:val="000000" w:themeColor="text1"/>
          <w:sz w:val="18"/>
          <w:szCs w:val="18"/>
        </w:rPr>
        <w:t>American Bar Association Journal</w:t>
      </w:r>
      <w:r w:rsidRPr="003B6E6B">
        <w:rPr>
          <w:rFonts w:ascii="Garamond" w:hAnsi="Garamond"/>
          <w:i/>
          <w:color w:val="000000" w:themeColor="text1"/>
          <w:sz w:val="18"/>
          <w:szCs w:val="18"/>
        </w:rPr>
        <w:t>,</w:t>
      </w:r>
      <w:r w:rsidRPr="003B6E6B">
        <w:rPr>
          <w:rFonts w:ascii="Garamond" w:hAnsi="Garamond"/>
          <w:color w:val="000000" w:themeColor="text1"/>
          <w:sz w:val="18"/>
          <w:szCs w:val="18"/>
        </w:rPr>
        <w:t xml:space="preserve"> 667, 668 </w:t>
      </w:r>
      <w:r w:rsidRPr="003B6E6B">
        <w:rPr>
          <w:rFonts w:ascii="Garamond" w:hAnsi="Garamond"/>
          <w:iCs/>
          <w:color w:val="000000" w:themeColor="text1"/>
          <w:sz w:val="18"/>
          <w:szCs w:val="18"/>
        </w:rPr>
        <w:t>(1959)</w:t>
      </w:r>
      <w:r w:rsidRPr="003B6E6B">
        <w:rPr>
          <w:rFonts w:ascii="Garamond" w:hAnsi="Garamond"/>
          <w:color w:val="000000" w:themeColor="text1"/>
          <w:sz w:val="18"/>
          <w:szCs w:val="18"/>
        </w:rPr>
        <w:t>.</w:t>
      </w:r>
    </w:p>
  </w:footnote>
  <w:footnote w:id="21">
    <w:p w14:paraId="34C64D52" w14:textId="76BB8823"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Ben Worthy, </w:t>
      </w:r>
      <w:r w:rsidRPr="007C456C">
        <w:rPr>
          <w:rFonts w:ascii="Garamond" w:hAnsi="Garamond"/>
          <w:i/>
          <w:color w:val="000000" w:themeColor="text1"/>
          <w:sz w:val="18"/>
          <w:szCs w:val="18"/>
        </w:rPr>
        <w:t>More Open But Not More Trusted? The Impact of FOI on British Central Government</w:t>
      </w:r>
      <w:r w:rsidRPr="003B6E6B">
        <w:rPr>
          <w:rFonts w:ascii="Garamond" w:hAnsi="Garamond"/>
          <w:color w:val="000000" w:themeColor="text1"/>
          <w:sz w:val="18"/>
          <w:szCs w:val="18"/>
        </w:rPr>
        <w:t xml:space="preserve">, 23 </w:t>
      </w:r>
      <w:r w:rsidRPr="007C456C">
        <w:rPr>
          <w:rFonts w:ascii="Garamond" w:hAnsi="Garamond"/>
          <w:smallCaps/>
          <w:color w:val="000000" w:themeColor="text1"/>
          <w:sz w:val="18"/>
          <w:szCs w:val="18"/>
        </w:rPr>
        <w:t>Governance</w:t>
      </w:r>
      <w:r w:rsidR="00410194">
        <w:rPr>
          <w:rFonts w:ascii="Garamond" w:hAnsi="Garamond"/>
          <w:color w:val="000000" w:themeColor="text1"/>
          <w:sz w:val="18"/>
          <w:szCs w:val="18"/>
        </w:rPr>
        <w:t> </w:t>
      </w:r>
      <w:r w:rsidRPr="003B6E6B">
        <w:rPr>
          <w:rFonts w:ascii="Garamond" w:hAnsi="Garamond"/>
          <w:color w:val="000000" w:themeColor="text1"/>
          <w:sz w:val="18"/>
          <w:szCs w:val="18"/>
        </w:rPr>
        <w:t>561, 563 (2010).</w:t>
      </w:r>
    </w:p>
  </w:footnote>
  <w:footnote w:id="22">
    <w:p w14:paraId="369109D2" w14:textId="77777777"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w:t>
      </w:r>
      <w:r w:rsidRPr="003F6A60">
        <w:rPr>
          <w:rFonts w:ascii="Garamond" w:hAnsi="Garamond"/>
          <w:i/>
          <w:color w:val="000000" w:themeColor="text1"/>
          <w:sz w:val="18"/>
          <w:szCs w:val="18"/>
        </w:rPr>
        <w:t>Ibid</w:t>
      </w:r>
      <w:r w:rsidRPr="003B6E6B">
        <w:rPr>
          <w:rFonts w:ascii="Garamond" w:hAnsi="Garamond"/>
          <w:color w:val="000000" w:themeColor="text1"/>
          <w:sz w:val="18"/>
          <w:szCs w:val="18"/>
        </w:rPr>
        <w:t>.</w:t>
      </w:r>
    </w:p>
  </w:footnote>
  <w:footnote w:id="23">
    <w:p w14:paraId="6CE9F546" w14:textId="7ED2F999" w:rsidR="007D7373" w:rsidRDefault="00252A51" w:rsidP="00975542">
      <w:pPr>
        <w:pStyle w:val="xfootnote"/>
        <w:tabs>
          <w:tab w:val="clear" w:pos="425"/>
          <w:tab w:val="left" w:pos="0"/>
        </w:tabs>
        <w:spacing w:before="0"/>
        <w:ind w:left="0" w:firstLine="0"/>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These have been described as </w:t>
      </w:r>
      <w:r w:rsidR="00410194">
        <w:rPr>
          <w:rFonts w:ascii="Garamond" w:hAnsi="Garamond"/>
          <w:color w:val="000000" w:themeColor="text1"/>
          <w:sz w:val="18"/>
          <w:szCs w:val="18"/>
        </w:rPr>
        <w:t>‘</w:t>
      </w:r>
      <w:r w:rsidRPr="003B6E6B">
        <w:rPr>
          <w:rFonts w:ascii="Garamond" w:hAnsi="Garamond"/>
          <w:color w:val="000000" w:themeColor="text1"/>
          <w:sz w:val="18"/>
          <w:szCs w:val="18"/>
        </w:rPr>
        <w:t>push</w:t>
      </w:r>
      <w:r w:rsidR="00410194">
        <w:rPr>
          <w:rFonts w:ascii="Garamond" w:hAnsi="Garamond"/>
          <w:color w:val="000000" w:themeColor="text1"/>
          <w:sz w:val="18"/>
          <w:szCs w:val="18"/>
        </w:rPr>
        <w:t>’</w:t>
      </w:r>
      <w:r w:rsidRPr="003B6E6B">
        <w:rPr>
          <w:rFonts w:ascii="Garamond" w:hAnsi="Garamond"/>
          <w:color w:val="000000" w:themeColor="text1"/>
          <w:sz w:val="18"/>
          <w:szCs w:val="18"/>
        </w:rPr>
        <w:t xml:space="preserve"> and </w:t>
      </w:r>
      <w:r w:rsidR="00410194">
        <w:rPr>
          <w:rFonts w:ascii="Garamond" w:hAnsi="Garamond"/>
          <w:color w:val="000000" w:themeColor="text1"/>
          <w:sz w:val="18"/>
          <w:szCs w:val="18"/>
        </w:rPr>
        <w:t>‘</w:t>
      </w:r>
      <w:r w:rsidRPr="003B6E6B">
        <w:rPr>
          <w:rFonts w:ascii="Garamond" w:hAnsi="Garamond"/>
          <w:color w:val="000000" w:themeColor="text1"/>
          <w:sz w:val="18"/>
          <w:szCs w:val="18"/>
        </w:rPr>
        <w:t>pull</w:t>
      </w:r>
      <w:r w:rsidR="00410194">
        <w:rPr>
          <w:rFonts w:ascii="Garamond" w:hAnsi="Garamond"/>
          <w:color w:val="000000" w:themeColor="text1"/>
          <w:sz w:val="18"/>
          <w:szCs w:val="18"/>
        </w:rPr>
        <w:t>’</w:t>
      </w:r>
      <w:r w:rsidRPr="003B6E6B">
        <w:rPr>
          <w:rFonts w:ascii="Garamond" w:hAnsi="Garamond"/>
          <w:color w:val="000000" w:themeColor="text1"/>
          <w:sz w:val="18"/>
          <w:szCs w:val="18"/>
        </w:rPr>
        <w:t xml:space="preserve"> models, </w:t>
      </w:r>
      <w:r w:rsidR="003F6A60">
        <w:rPr>
          <w:rFonts w:ascii="Garamond" w:hAnsi="Garamond"/>
          <w:i/>
          <w:color w:val="000000" w:themeColor="text1"/>
          <w:sz w:val="18"/>
          <w:szCs w:val="18"/>
        </w:rPr>
        <w:t>see</w:t>
      </w:r>
      <w:r w:rsidRPr="003B6E6B">
        <w:rPr>
          <w:rFonts w:ascii="Garamond" w:hAnsi="Garamond"/>
          <w:color w:val="000000" w:themeColor="text1"/>
          <w:sz w:val="18"/>
          <w:szCs w:val="18"/>
        </w:rPr>
        <w:t xml:space="preserve"> </w:t>
      </w:r>
      <w:r w:rsidRPr="003B6E6B">
        <w:rPr>
          <w:rFonts w:ascii="Garamond" w:hAnsi="Garamond"/>
          <w:smallCaps/>
          <w:color w:val="000000" w:themeColor="text1"/>
          <w:sz w:val="18"/>
          <w:szCs w:val="18"/>
        </w:rPr>
        <w:t xml:space="preserve">Moira Paterson, </w:t>
      </w:r>
      <w:r w:rsidRPr="003B6E6B">
        <w:rPr>
          <w:rStyle w:val="xfootnoteitalic"/>
          <w:rFonts w:ascii="Garamond" w:hAnsi="Garamond"/>
          <w:smallCaps/>
          <w:color w:val="000000" w:themeColor="text1"/>
          <w:sz w:val="18"/>
          <w:szCs w:val="18"/>
        </w:rPr>
        <w:t>Freedom of Information and Privacy in Australia: Government and Information Access in the Modern State</w:t>
      </w:r>
      <w:r w:rsidR="00410194">
        <w:rPr>
          <w:rStyle w:val="xfootnoteitalic"/>
          <w:rFonts w:ascii="Garamond" w:hAnsi="Garamond"/>
          <w:smallCaps/>
          <w:color w:val="000000" w:themeColor="text1"/>
          <w:sz w:val="18"/>
          <w:szCs w:val="18"/>
        </w:rPr>
        <w:t> </w:t>
      </w:r>
      <w:r w:rsidRPr="003B6E6B">
        <w:rPr>
          <w:rStyle w:val="xfootnoteitalic"/>
          <w:rFonts w:ascii="Garamond" w:hAnsi="Garamond"/>
          <w:smallCaps/>
          <w:color w:val="000000" w:themeColor="text1"/>
          <w:sz w:val="18"/>
          <w:szCs w:val="18"/>
        </w:rPr>
        <w:t>498</w:t>
      </w:r>
      <w:r w:rsidRPr="003B6E6B">
        <w:rPr>
          <w:rFonts w:ascii="Garamond" w:hAnsi="Garamond"/>
          <w:color w:val="000000" w:themeColor="text1"/>
          <w:sz w:val="18"/>
          <w:szCs w:val="18"/>
        </w:rPr>
        <w:t xml:space="preserve"> (LexisNexis Butterworths</w:t>
      </w:r>
      <w:r w:rsidR="00410194">
        <w:rPr>
          <w:rFonts w:ascii="Garamond" w:hAnsi="Garamond"/>
          <w:color w:val="000000" w:themeColor="text1"/>
          <w:sz w:val="18"/>
          <w:szCs w:val="18"/>
        </w:rPr>
        <w:t> </w:t>
      </w:r>
      <w:r w:rsidRPr="003B6E6B">
        <w:rPr>
          <w:rFonts w:ascii="Garamond" w:hAnsi="Garamond"/>
          <w:color w:val="000000" w:themeColor="text1"/>
          <w:sz w:val="18"/>
          <w:szCs w:val="18"/>
        </w:rPr>
        <w:t xml:space="preserve">2005). Alternatively, </w:t>
      </w:r>
      <w:r w:rsidR="00410194">
        <w:rPr>
          <w:rFonts w:ascii="Garamond" w:hAnsi="Garamond"/>
          <w:color w:val="000000" w:themeColor="text1"/>
          <w:sz w:val="18"/>
          <w:szCs w:val="18"/>
        </w:rPr>
        <w:t>‘</w:t>
      </w:r>
      <w:r w:rsidRPr="003B6E6B">
        <w:rPr>
          <w:rFonts w:ascii="Garamond" w:hAnsi="Garamond"/>
          <w:color w:val="000000" w:themeColor="text1"/>
          <w:sz w:val="18"/>
          <w:szCs w:val="18"/>
        </w:rPr>
        <w:t>passive</w:t>
      </w:r>
      <w:r w:rsidR="00410194">
        <w:rPr>
          <w:rFonts w:ascii="Garamond" w:hAnsi="Garamond"/>
          <w:color w:val="000000" w:themeColor="text1"/>
          <w:sz w:val="18"/>
          <w:szCs w:val="18"/>
        </w:rPr>
        <w:t>’</w:t>
      </w:r>
      <w:r w:rsidRPr="003B6E6B">
        <w:rPr>
          <w:rFonts w:ascii="Garamond" w:hAnsi="Garamond"/>
          <w:color w:val="000000" w:themeColor="text1"/>
          <w:sz w:val="18"/>
          <w:szCs w:val="18"/>
        </w:rPr>
        <w:t xml:space="preserve"> access on demand or </w:t>
      </w:r>
      <w:r w:rsidR="00410194">
        <w:rPr>
          <w:rFonts w:ascii="Garamond" w:hAnsi="Garamond"/>
          <w:color w:val="000000" w:themeColor="text1"/>
          <w:sz w:val="18"/>
          <w:szCs w:val="18"/>
        </w:rPr>
        <w:t>‘</w:t>
      </w:r>
      <w:r w:rsidRPr="003B6E6B">
        <w:rPr>
          <w:rFonts w:ascii="Garamond" w:hAnsi="Garamond"/>
          <w:color w:val="000000" w:themeColor="text1"/>
          <w:sz w:val="18"/>
          <w:szCs w:val="18"/>
        </w:rPr>
        <w:t>active</w:t>
      </w:r>
      <w:r w:rsidR="00410194">
        <w:rPr>
          <w:rFonts w:ascii="Garamond" w:hAnsi="Garamond"/>
          <w:color w:val="000000" w:themeColor="text1"/>
          <w:sz w:val="18"/>
          <w:szCs w:val="18"/>
        </w:rPr>
        <w:t>’</w:t>
      </w:r>
      <w:r w:rsidRPr="003B6E6B">
        <w:rPr>
          <w:rFonts w:ascii="Garamond" w:hAnsi="Garamond"/>
          <w:color w:val="000000" w:themeColor="text1"/>
          <w:sz w:val="18"/>
          <w:szCs w:val="18"/>
        </w:rPr>
        <w:t xml:space="preserve"> dissemination</w:t>
      </w:r>
      <w:r w:rsidRPr="003B6E6B">
        <w:rPr>
          <w:rFonts w:ascii="Garamond" w:eastAsiaTheme="minorHAnsi" w:hAnsi="Garamond"/>
          <w:color w:val="000000" w:themeColor="text1"/>
          <w:sz w:val="18"/>
          <w:szCs w:val="18"/>
        </w:rPr>
        <w:t xml:space="preserve">: </w:t>
      </w:r>
      <w:r w:rsidRPr="003B6E6B">
        <w:rPr>
          <w:rFonts w:ascii="Garamond" w:hAnsi="Garamond"/>
          <w:smallCaps/>
          <w:color w:val="000000" w:themeColor="text1"/>
          <w:sz w:val="18"/>
          <w:szCs w:val="18"/>
        </w:rPr>
        <w:t>Organisation for Economic Co-operation and Development (OECD), Citizens as Partners; Information, Consultation, and Public Participation in Policy-Making</w:t>
      </w:r>
      <w:r w:rsidR="00410194">
        <w:rPr>
          <w:rFonts w:ascii="Garamond" w:hAnsi="Garamond"/>
          <w:smallCaps/>
          <w:color w:val="000000" w:themeColor="text1"/>
          <w:sz w:val="18"/>
          <w:szCs w:val="18"/>
        </w:rPr>
        <w:t> </w:t>
      </w:r>
      <w:r w:rsidRPr="003B6E6B">
        <w:rPr>
          <w:rFonts w:ascii="Garamond" w:hAnsi="Garamond"/>
          <w:smallCaps/>
          <w:color w:val="000000" w:themeColor="text1"/>
          <w:sz w:val="18"/>
          <w:szCs w:val="18"/>
        </w:rPr>
        <w:t>12</w:t>
      </w:r>
      <w:r w:rsidRPr="003B6E6B">
        <w:rPr>
          <w:rFonts w:ascii="Garamond" w:hAnsi="Garamond"/>
          <w:color w:val="000000" w:themeColor="text1"/>
          <w:sz w:val="18"/>
          <w:szCs w:val="18"/>
        </w:rPr>
        <w:t xml:space="preserve"> (2001)</w:t>
      </w:r>
      <w:r w:rsidR="007D7373">
        <w:rPr>
          <w:rFonts w:ascii="Garamond" w:hAnsi="Garamond"/>
          <w:color w:val="000000" w:themeColor="text1"/>
          <w:sz w:val="18"/>
          <w:szCs w:val="18"/>
        </w:rPr>
        <w:t>:</w:t>
      </w:r>
    </w:p>
    <w:p w14:paraId="75329E9E" w14:textId="6A663723" w:rsidR="00252A51" w:rsidRPr="003B6E6B" w:rsidRDefault="00252A51" w:rsidP="00975542">
      <w:pPr>
        <w:pStyle w:val="xfootnote"/>
        <w:tabs>
          <w:tab w:val="clear" w:pos="425"/>
          <w:tab w:val="left" w:pos="0"/>
        </w:tabs>
        <w:spacing w:before="0"/>
        <w:ind w:left="0" w:firstLine="0"/>
        <w:jc w:val="both"/>
        <w:rPr>
          <w:rFonts w:ascii="Garamond" w:hAnsi="Garamond"/>
          <w:color w:val="000000" w:themeColor="text1"/>
          <w:sz w:val="18"/>
          <w:szCs w:val="18"/>
        </w:rPr>
      </w:pPr>
      <w:r w:rsidRPr="003B6E6B">
        <w:rPr>
          <w:rFonts w:ascii="Garamond" w:hAnsi="Garamond"/>
          <w:color w:val="000000" w:themeColor="text1"/>
          <w:sz w:val="18"/>
          <w:szCs w:val="18"/>
        </w:rPr>
        <w:t>http://www.oecd-ilibrary.org/governance/citize</w:t>
      </w:r>
      <w:r w:rsidR="007D7373">
        <w:rPr>
          <w:rFonts w:ascii="Garamond" w:hAnsi="Garamond"/>
          <w:color w:val="000000" w:themeColor="text1"/>
          <w:sz w:val="18"/>
          <w:szCs w:val="18"/>
        </w:rPr>
        <w:t>ns-as-partners_9789264195561-en</w:t>
      </w:r>
      <w:r w:rsidRPr="003B6E6B">
        <w:rPr>
          <w:rFonts w:ascii="Garamond" w:hAnsi="Garamond"/>
          <w:color w:val="000000" w:themeColor="text1"/>
          <w:sz w:val="18"/>
          <w:szCs w:val="18"/>
        </w:rPr>
        <w:t>.</w:t>
      </w:r>
    </w:p>
  </w:footnote>
  <w:footnote w:id="24">
    <w:p w14:paraId="31FC11BB" w14:textId="100FFB2F" w:rsidR="00252A51" w:rsidRPr="003B6E6B" w:rsidRDefault="00252A51" w:rsidP="00975542">
      <w:pPr>
        <w:pStyle w:val="Notedebasdepage"/>
        <w:jc w:val="both"/>
        <w:rPr>
          <w:rFonts w:ascii="Garamond" w:hAnsi="Garamond"/>
          <w:color w:val="000000" w:themeColor="text1"/>
          <w:sz w:val="18"/>
          <w:szCs w:val="18"/>
          <w:lang w:val="en-AU"/>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w:t>
      </w:r>
      <w:r w:rsidRPr="007D7373">
        <w:rPr>
          <w:rFonts w:ascii="Garamond" w:hAnsi="Garamond"/>
          <w:i/>
          <w:color w:val="000000" w:themeColor="text1"/>
          <w:sz w:val="18"/>
          <w:szCs w:val="18"/>
        </w:rPr>
        <w:t>See</w:t>
      </w:r>
      <w:r w:rsidRPr="003B6E6B">
        <w:rPr>
          <w:rFonts w:ascii="Garamond" w:hAnsi="Garamond"/>
          <w:color w:val="000000" w:themeColor="text1"/>
          <w:sz w:val="18"/>
          <w:szCs w:val="18"/>
        </w:rPr>
        <w:t>, for example: Freedom of Information Act</w:t>
      </w:r>
      <w:r w:rsidR="00410194">
        <w:rPr>
          <w:rFonts w:ascii="Garamond" w:hAnsi="Garamond"/>
          <w:color w:val="000000" w:themeColor="text1"/>
          <w:sz w:val="18"/>
          <w:szCs w:val="18"/>
        </w:rPr>
        <w:t> </w:t>
      </w:r>
      <w:r w:rsidRPr="003B6E6B">
        <w:rPr>
          <w:rFonts w:ascii="Garamond" w:hAnsi="Garamond"/>
          <w:color w:val="000000" w:themeColor="text1"/>
          <w:sz w:val="18"/>
          <w:szCs w:val="18"/>
        </w:rPr>
        <w:t>1982 (Cth) Part</w:t>
      </w:r>
      <w:r w:rsidR="00410194">
        <w:rPr>
          <w:rFonts w:ascii="Garamond" w:hAnsi="Garamond"/>
          <w:color w:val="000000" w:themeColor="text1"/>
          <w:sz w:val="18"/>
          <w:szCs w:val="18"/>
        </w:rPr>
        <w:t> </w:t>
      </w:r>
      <w:r w:rsidRPr="003B6E6B">
        <w:rPr>
          <w:rFonts w:ascii="Garamond" w:hAnsi="Garamond"/>
          <w:color w:val="000000" w:themeColor="text1"/>
          <w:sz w:val="18"/>
          <w:szCs w:val="18"/>
        </w:rPr>
        <w:t>II.</w:t>
      </w:r>
    </w:p>
  </w:footnote>
  <w:footnote w:id="25">
    <w:p w14:paraId="2E40F000" w14:textId="7712F023" w:rsidR="00252A51" w:rsidRPr="003B6E6B" w:rsidRDefault="00252A51" w:rsidP="00975542">
      <w:pPr>
        <w:pStyle w:val="Notedebasdepage"/>
        <w:jc w:val="both"/>
        <w:rPr>
          <w:rFonts w:ascii="Garamond" w:hAnsi="Garamond"/>
          <w:color w:val="000000" w:themeColor="text1"/>
          <w:sz w:val="18"/>
          <w:szCs w:val="18"/>
          <w:lang w:val="en-AU"/>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w:t>
      </w:r>
      <w:r w:rsidRPr="007D7373">
        <w:rPr>
          <w:rFonts w:ascii="Garamond" w:hAnsi="Garamond"/>
          <w:i/>
          <w:color w:val="000000" w:themeColor="text1"/>
          <w:sz w:val="18"/>
          <w:szCs w:val="18"/>
        </w:rPr>
        <w:t>See</w:t>
      </w:r>
      <w:r w:rsidRPr="003B6E6B">
        <w:rPr>
          <w:rFonts w:ascii="Garamond" w:hAnsi="Garamond"/>
          <w:color w:val="000000" w:themeColor="text1"/>
          <w:sz w:val="18"/>
          <w:szCs w:val="18"/>
        </w:rPr>
        <w:t>, for example: Freedom of Information Act</w:t>
      </w:r>
      <w:r w:rsidR="00410194">
        <w:rPr>
          <w:rFonts w:ascii="Garamond" w:hAnsi="Garamond"/>
          <w:color w:val="000000" w:themeColor="text1"/>
          <w:sz w:val="18"/>
          <w:szCs w:val="18"/>
        </w:rPr>
        <w:t> </w:t>
      </w:r>
      <w:r w:rsidRPr="003B6E6B">
        <w:rPr>
          <w:rFonts w:ascii="Garamond" w:hAnsi="Garamond"/>
          <w:color w:val="000000" w:themeColor="text1"/>
          <w:sz w:val="18"/>
          <w:szCs w:val="18"/>
        </w:rPr>
        <w:t>1982 (Cth) Part</w:t>
      </w:r>
      <w:r w:rsidR="00410194">
        <w:rPr>
          <w:rFonts w:ascii="Garamond" w:hAnsi="Garamond"/>
          <w:color w:val="000000" w:themeColor="text1"/>
          <w:sz w:val="18"/>
          <w:szCs w:val="18"/>
        </w:rPr>
        <w:t> </w:t>
      </w:r>
      <w:r w:rsidRPr="003B6E6B">
        <w:rPr>
          <w:rFonts w:ascii="Garamond" w:hAnsi="Garamond"/>
          <w:color w:val="000000" w:themeColor="text1"/>
          <w:sz w:val="18"/>
          <w:szCs w:val="18"/>
        </w:rPr>
        <w:t>III.</w:t>
      </w:r>
    </w:p>
  </w:footnote>
  <w:footnote w:id="26">
    <w:p w14:paraId="0C440B44" w14:textId="299DCCDA" w:rsidR="00252A51" w:rsidRPr="003B6E6B" w:rsidRDefault="00252A51" w:rsidP="00975542">
      <w:pPr>
        <w:pStyle w:val="Notedebasdepage"/>
        <w:jc w:val="both"/>
        <w:rPr>
          <w:rFonts w:ascii="Garamond" w:hAnsi="Garamond"/>
          <w:color w:val="000000" w:themeColor="text1"/>
          <w:sz w:val="18"/>
          <w:szCs w:val="18"/>
          <w:lang w:val="en-AU"/>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w:t>
      </w:r>
      <w:r w:rsidRPr="007D7373">
        <w:rPr>
          <w:rFonts w:ascii="Garamond" w:hAnsi="Garamond"/>
          <w:i/>
          <w:color w:val="000000" w:themeColor="text1"/>
          <w:sz w:val="18"/>
          <w:szCs w:val="18"/>
        </w:rPr>
        <w:t>See</w:t>
      </w:r>
      <w:r w:rsidRPr="003B6E6B">
        <w:rPr>
          <w:rFonts w:ascii="Garamond" w:hAnsi="Garamond"/>
          <w:color w:val="000000" w:themeColor="text1"/>
          <w:sz w:val="18"/>
          <w:szCs w:val="18"/>
        </w:rPr>
        <w:t>, for example: Freedom of Information Act</w:t>
      </w:r>
      <w:r w:rsidR="00410194">
        <w:rPr>
          <w:rFonts w:ascii="Garamond" w:hAnsi="Garamond"/>
          <w:color w:val="000000" w:themeColor="text1"/>
          <w:sz w:val="18"/>
          <w:szCs w:val="18"/>
        </w:rPr>
        <w:t> </w:t>
      </w:r>
      <w:r w:rsidRPr="003B6E6B">
        <w:rPr>
          <w:rFonts w:ascii="Garamond" w:hAnsi="Garamond"/>
          <w:color w:val="000000" w:themeColor="text1"/>
          <w:sz w:val="18"/>
          <w:szCs w:val="18"/>
        </w:rPr>
        <w:t>1982 (Cth) Part IV.</w:t>
      </w:r>
    </w:p>
  </w:footnote>
  <w:footnote w:id="27">
    <w:p w14:paraId="2970EC52" w14:textId="0A1CCDE8"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Federal FOI annual reports disclose that the greatest number of FOI requests is for personal information about the applicant and that fewer of these applications are refused. In 2013–2014, 79.7 per cent of all Federal FOI requests were for documents containing </w:t>
      </w:r>
      <w:r w:rsidR="00410194">
        <w:rPr>
          <w:rFonts w:ascii="Garamond" w:hAnsi="Garamond"/>
          <w:color w:val="000000" w:themeColor="text1"/>
          <w:sz w:val="18"/>
          <w:szCs w:val="18"/>
        </w:rPr>
        <w:t>‘</w:t>
      </w:r>
      <w:r w:rsidRPr="003B6E6B">
        <w:rPr>
          <w:rFonts w:ascii="Garamond" w:hAnsi="Garamond"/>
          <w:color w:val="000000" w:themeColor="text1"/>
          <w:sz w:val="18"/>
          <w:szCs w:val="18"/>
        </w:rPr>
        <w:t>personal</w:t>
      </w:r>
      <w:r w:rsidR="00410194">
        <w:rPr>
          <w:rFonts w:ascii="Garamond" w:hAnsi="Garamond"/>
          <w:color w:val="000000" w:themeColor="text1"/>
          <w:sz w:val="18"/>
          <w:szCs w:val="18"/>
        </w:rPr>
        <w:t>’</w:t>
      </w:r>
      <w:r w:rsidRPr="003B6E6B">
        <w:rPr>
          <w:rFonts w:ascii="Garamond" w:hAnsi="Garamond"/>
          <w:color w:val="000000" w:themeColor="text1"/>
          <w:sz w:val="18"/>
          <w:szCs w:val="18"/>
        </w:rPr>
        <w:t xml:space="preserve"> information: </w:t>
      </w:r>
      <w:r w:rsidRPr="003B6E6B">
        <w:rPr>
          <w:rFonts w:ascii="Garamond" w:hAnsi="Garamond"/>
          <w:smallCaps/>
          <w:color w:val="000000" w:themeColor="text1"/>
          <w:sz w:val="18"/>
          <w:szCs w:val="18"/>
        </w:rPr>
        <w:t xml:space="preserve">Office of the Australian Information Commissioner, </w:t>
      </w:r>
      <w:r w:rsidRPr="003B6E6B">
        <w:rPr>
          <w:rStyle w:val="xfootnoteitalic"/>
          <w:rFonts w:ascii="Garamond" w:hAnsi="Garamond"/>
          <w:smallCaps/>
          <w:color w:val="000000" w:themeColor="text1"/>
          <w:sz w:val="18"/>
          <w:szCs w:val="18"/>
        </w:rPr>
        <w:t>Freedom of Information Act</w:t>
      </w:r>
      <w:r w:rsidR="00410194">
        <w:rPr>
          <w:rStyle w:val="xfootnoteitalic"/>
          <w:rFonts w:ascii="Garamond" w:hAnsi="Garamond"/>
          <w:smallCaps/>
          <w:color w:val="000000" w:themeColor="text1"/>
          <w:sz w:val="18"/>
          <w:szCs w:val="18"/>
        </w:rPr>
        <w:t> </w:t>
      </w:r>
      <w:r w:rsidRPr="003B6E6B">
        <w:rPr>
          <w:rStyle w:val="xfootnoteitalic"/>
          <w:rFonts w:ascii="Garamond" w:hAnsi="Garamond"/>
          <w:smallCaps/>
          <w:color w:val="000000" w:themeColor="text1"/>
          <w:sz w:val="18"/>
          <w:szCs w:val="18"/>
        </w:rPr>
        <w:t>1982 Annual Report 2013–2014</w:t>
      </w:r>
      <w:r w:rsidRPr="003B6E6B">
        <w:rPr>
          <w:rFonts w:ascii="Garamond" w:hAnsi="Garamond"/>
          <w:color w:val="000000" w:themeColor="text1"/>
          <w:sz w:val="18"/>
          <w:szCs w:val="18"/>
        </w:rPr>
        <w:t xml:space="preserve"> 130, 133 (2014). </w:t>
      </w:r>
      <w:r w:rsidRPr="007D7373">
        <w:rPr>
          <w:rFonts w:ascii="Garamond" w:hAnsi="Garamond"/>
          <w:i/>
          <w:color w:val="000000" w:themeColor="text1"/>
          <w:sz w:val="18"/>
          <w:szCs w:val="18"/>
        </w:rPr>
        <w:t>See</w:t>
      </w:r>
      <w:r w:rsidRPr="003B6E6B">
        <w:rPr>
          <w:rFonts w:ascii="Garamond" w:hAnsi="Garamond"/>
          <w:color w:val="000000" w:themeColor="text1"/>
          <w:sz w:val="18"/>
          <w:szCs w:val="18"/>
        </w:rPr>
        <w:t xml:space="preserve"> table</w:t>
      </w:r>
      <w:r w:rsidR="00410194">
        <w:rPr>
          <w:rFonts w:ascii="Garamond" w:hAnsi="Garamond"/>
          <w:color w:val="000000" w:themeColor="text1"/>
          <w:sz w:val="18"/>
          <w:szCs w:val="18"/>
        </w:rPr>
        <w:t> </w:t>
      </w:r>
      <w:r w:rsidRPr="003B6E6B">
        <w:rPr>
          <w:rFonts w:ascii="Garamond" w:hAnsi="Garamond"/>
          <w:color w:val="000000" w:themeColor="text1"/>
          <w:sz w:val="18"/>
          <w:szCs w:val="18"/>
        </w:rPr>
        <w:t>9.5 to compare figures on refusals of requests: http://www.oaic.gov.au/about-us/corporate-information/annual-rep</w:t>
      </w:r>
      <w:r w:rsidR="007D7373">
        <w:rPr>
          <w:rFonts w:ascii="Garamond" w:hAnsi="Garamond"/>
          <w:color w:val="000000" w:themeColor="text1"/>
          <w:sz w:val="18"/>
          <w:szCs w:val="18"/>
        </w:rPr>
        <w:t>orts/oaic-annual-report-201314/</w:t>
      </w:r>
      <w:r w:rsidRPr="003B6E6B">
        <w:rPr>
          <w:rFonts w:ascii="Garamond" w:hAnsi="Garamond"/>
          <w:color w:val="000000" w:themeColor="text1"/>
          <w:sz w:val="18"/>
          <w:szCs w:val="18"/>
        </w:rPr>
        <w:t>.</w:t>
      </w:r>
    </w:p>
  </w:footnote>
  <w:footnote w:id="28">
    <w:p w14:paraId="6C26DD9A" w14:textId="7E95559C"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The law ought not to be secret: Victor Kramer and David Weinberg, </w:t>
      </w:r>
      <w:r w:rsidRPr="003B6E6B">
        <w:rPr>
          <w:rFonts w:ascii="Garamond" w:hAnsi="Garamond"/>
          <w:i/>
          <w:iCs/>
          <w:color w:val="000000" w:themeColor="text1"/>
          <w:sz w:val="18"/>
          <w:szCs w:val="18"/>
        </w:rPr>
        <w:t>The Freedom of Information Act</w:t>
      </w:r>
      <w:r w:rsidR="00410194">
        <w:rPr>
          <w:rFonts w:ascii="Garamond" w:hAnsi="Garamond"/>
          <w:color w:val="000000" w:themeColor="text1"/>
          <w:sz w:val="18"/>
          <w:szCs w:val="18"/>
        </w:rPr>
        <w:t> </w:t>
      </w:r>
      <w:r w:rsidRPr="003B6E6B">
        <w:rPr>
          <w:rFonts w:ascii="Garamond" w:hAnsi="Garamond"/>
          <w:color w:val="000000" w:themeColor="text1"/>
          <w:sz w:val="18"/>
          <w:szCs w:val="18"/>
        </w:rPr>
        <w:t xml:space="preserve">63 </w:t>
      </w:r>
      <w:r w:rsidRPr="007D7373">
        <w:rPr>
          <w:rFonts w:ascii="Garamond" w:hAnsi="Garamond"/>
          <w:smallCaps/>
          <w:color w:val="000000" w:themeColor="text1"/>
          <w:sz w:val="18"/>
          <w:szCs w:val="18"/>
        </w:rPr>
        <w:t>Georgetown Law Journal</w:t>
      </w:r>
      <w:r w:rsidR="00410194">
        <w:rPr>
          <w:rFonts w:ascii="Garamond" w:hAnsi="Garamond"/>
          <w:color w:val="000000" w:themeColor="text1"/>
          <w:sz w:val="18"/>
          <w:szCs w:val="18"/>
        </w:rPr>
        <w:t> </w:t>
      </w:r>
      <w:r w:rsidRPr="003B6E6B">
        <w:rPr>
          <w:rFonts w:ascii="Garamond" w:hAnsi="Garamond"/>
          <w:color w:val="000000" w:themeColor="text1"/>
          <w:sz w:val="18"/>
          <w:szCs w:val="18"/>
        </w:rPr>
        <w:t>49, 63 (1974).</w:t>
      </w:r>
    </w:p>
  </w:footnote>
  <w:footnote w:id="29">
    <w:p w14:paraId="2A1058A7" w14:textId="692D4349"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w:t>
      </w:r>
      <w:r w:rsidRPr="003B6E6B">
        <w:rPr>
          <w:rFonts w:ascii="Garamond" w:hAnsi="Garamond"/>
          <w:i/>
          <w:color w:val="000000" w:themeColor="text1"/>
          <w:sz w:val="18"/>
          <w:szCs w:val="18"/>
        </w:rPr>
        <w:t>Blackpool Corporation v</w:t>
      </w:r>
      <w:r w:rsidR="007D7373">
        <w:rPr>
          <w:rFonts w:ascii="Garamond" w:hAnsi="Garamond"/>
          <w:i/>
          <w:color w:val="000000" w:themeColor="text1"/>
          <w:sz w:val="18"/>
          <w:szCs w:val="18"/>
        </w:rPr>
        <w:t>.</w:t>
      </w:r>
      <w:r w:rsidRPr="003B6E6B">
        <w:rPr>
          <w:rFonts w:ascii="Garamond" w:hAnsi="Garamond"/>
          <w:i/>
          <w:color w:val="000000" w:themeColor="text1"/>
          <w:sz w:val="18"/>
          <w:szCs w:val="18"/>
        </w:rPr>
        <w:t xml:space="preserve"> Locker </w:t>
      </w:r>
      <w:r w:rsidRPr="003B6E6B">
        <w:rPr>
          <w:rFonts w:ascii="Garamond" w:hAnsi="Garamond"/>
          <w:color w:val="000000" w:themeColor="text1"/>
          <w:sz w:val="18"/>
          <w:szCs w:val="18"/>
        </w:rPr>
        <w:t>[1948] 1</w:t>
      </w:r>
      <w:r w:rsidR="00410194">
        <w:rPr>
          <w:rFonts w:ascii="Garamond" w:hAnsi="Garamond"/>
          <w:color w:val="000000" w:themeColor="text1"/>
          <w:sz w:val="18"/>
          <w:szCs w:val="18"/>
        </w:rPr>
        <w:t> </w:t>
      </w:r>
      <w:r w:rsidRPr="003B6E6B">
        <w:rPr>
          <w:rFonts w:ascii="Garamond" w:hAnsi="Garamond"/>
          <w:color w:val="000000" w:themeColor="text1"/>
          <w:sz w:val="18"/>
          <w:szCs w:val="18"/>
        </w:rPr>
        <w:t>KB</w:t>
      </w:r>
      <w:r w:rsidR="00410194">
        <w:rPr>
          <w:rFonts w:ascii="Garamond" w:hAnsi="Garamond"/>
          <w:color w:val="000000" w:themeColor="text1"/>
          <w:sz w:val="18"/>
          <w:szCs w:val="18"/>
        </w:rPr>
        <w:t> </w:t>
      </w:r>
      <w:r w:rsidRPr="003B6E6B">
        <w:rPr>
          <w:rFonts w:ascii="Garamond" w:hAnsi="Garamond"/>
          <w:color w:val="000000" w:themeColor="text1"/>
          <w:sz w:val="18"/>
          <w:szCs w:val="18"/>
        </w:rPr>
        <w:t>349, 361. Or at least at that time, that legal advisers have access. While in 1948 all statutory law was published by the King</w:t>
      </w:r>
      <w:r w:rsidR="00410194">
        <w:rPr>
          <w:rFonts w:ascii="Garamond" w:hAnsi="Garamond"/>
          <w:color w:val="000000" w:themeColor="text1"/>
          <w:sz w:val="18"/>
          <w:szCs w:val="18"/>
        </w:rPr>
        <w:t>’</w:t>
      </w:r>
      <w:r w:rsidRPr="003B6E6B">
        <w:rPr>
          <w:rFonts w:ascii="Garamond" w:hAnsi="Garamond"/>
          <w:color w:val="000000" w:themeColor="text1"/>
          <w:sz w:val="18"/>
          <w:szCs w:val="18"/>
        </w:rPr>
        <w:t xml:space="preserve">s Printer, Scott L.J. of the English King’s Bench wrote of the </w:t>
      </w:r>
      <w:r w:rsidR="00410194">
        <w:rPr>
          <w:rFonts w:ascii="Garamond" w:hAnsi="Garamond"/>
          <w:color w:val="000000" w:themeColor="text1"/>
          <w:sz w:val="18"/>
          <w:szCs w:val="18"/>
        </w:rPr>
        <w:t>‘</w:t>
      </w:r>
      <w:r w:rsidRPr="003B6E6B">
        <w:rPr>
          <w:rFonts w:ascii="Garamond" w:hAnsi="Garamond"/>
          <w:color w:val="000000" w:themeColor="text1"/>
          <w:sz w:val="18"/>
          <w:szCs w:val="18"/>
        </w:rPr>
        <w:t>the crying need of immediate publication of all matter that is truly legislative</w:t>
      </w:r>
      <w:r w:rsidR="00410194">
        <w:rPr>
          <w:rFonts w:ascii="Garamond" w:hAnsi="Garamond"/>
          <w:color w:val="000000" w:themeColor="text1"/>
          <w:sz w:val="18"/>
          <w:szCs w:val="18"/>
        </w:rPr>
        <w:t>’</w:t>
      </w:r>
      <w:r w:rsidRPr="003B6E6B">
        <w:rPr>
          <w:rFonts w:ascii="Garamond" w:hAnsi="Garamond"/>
          <w:color w:val="000000" w:themeColor="text1"/>
          <w:sz w:val="18"/>
          <w:szCs w:val="18"/>
        </w:rPr>
        <w:t xml:space="preserve"> </w:t>
      </w:r>
      <w:r w:rsidRPr="003B6E6B">
        <w:rPr>
          <w:rFonts w:ascii="Garamond" w:hAnsi="Garamond"/>
          <w:i/>
          <w:color w:val="000000" w:themeColor="text1"/>
          <w:sz w:val="18"/>
          <w:szCs w:val="18"/>
        </w:rPr>
        <w:t>ibid</w:t>
      </w:r>
      <w:r w:rsidRPr="003B6E6B">
        <w:rPr>
          <w:rFonts w:ascii="Garamond" w:hAnsi="Garamond"/>
          <w:color w:val="000000" w:themeColor="text1"/>
          <w:sz w:val="18"/>
          <w:szCs w:val="18"/>
        </w:rPr>
        <w:t xml:space="preserve"> 362</w:t>
      </w:r>
    </w:p>
  </w:footnote>
  <w:footnote w:id="30">
    <w:p w14:paraId="5025D44F" w14:textId="061A1501"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Wallace Parks, </w:t>
      </w:r>
      <w:r w:rsidRPr="007D7373">
        <w:rPr>
          <w:rFonts w:ascii="Garamond" w:hAnsi="Garamond"/>
          <w:i/>
          <w:color w:val="000000" w:themeColor="text1"/>
          <w:sz w:val="18"/>
          <w:szCs w:val="18"/>
        </w:rPr>
        <w:t>The Open Government Principle: Applying the Right to Know Under the Constitution</w:t>
      </w:r>
      <w:r w:rsidRPr="003B6E6B">
        <w:rPr>
          <w:rFonts w:ascii="Garamond" w:hAnsi="Garamond"/>
          <w:color w:val="000000" w:themeColor="text1"/>
          <w:sz w:val="18"/>
          <w:szCs w:val="18"/>
        </w:rPr>
        <w:t xml:space="preserve">, 26 </w:t>
      </w:r>
      <w:r w:rsidRPr="007D7373">
        <w:rPr>
          <w:rFonts w:ascii="Garamond" w:hAnsi="Garamond"/>
          <w:smallCaps/>
          <w:color w:val="000000" w:themeColor="text1"/>
          <w:sz w:val="18"/>
          <w:szCs w:val="18"/>
        </w:rPr>
        <w:t>George Washington Law Review</w:t>
      </w:r>
      <w:r w:rsidR="00410194">
        <w:rPr>
          <w:rFonts w:ascii="Garamond" w:hAnsi="Garamond"/>
          <w:color w:val="000000" w:themeColor="text1"/>
          <w:sz w:val="18"/>
          <w:szCs w:val="18"/>
        </w:rPr>
        <w:t> </w:t>
      </w:r>
      <w:r w:rsidRPr="003B6E6B">
        <w:rPr>
          <w:rFonts w:ascii="Garamond" w:hAnsi="Garamond"/>
          <w:color w:val="000000" w:themeColor="text1"/>
          <w:sz w:val="18"/>
          <w:szCs w:val="18"/>
        </w:rPr>
        <w:t>1, 7 (1957).</w:t>
      </w:r>
    </w:p>
  </w:footnote>
  <w:footnote w:id="31">
    <w:p w14:paraId="1F0E4EDB" w14:textId="37A79DB5" w:rsidR="003F6A60"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w:t>
      </w:r>
      <w:r w:rsidRPr="003B6E6B">
        <w:rPr>
          <w:rFonts w:ascii="Garamond" w:eastAsiaTheme="minorHAnsi" w:hAnsi="Garamond"/>
          <w:color w:val="000000" w:themeColor="text1"/>
          <w:sz w:val="18"/>
          <w:szCs w:val="18"/>
        </w:rPr>
        <w:t xml:space="preserve">Statement by President Johnson upon Signing Public Law 89-487 on July 4, 1966 </w:t>
      </w:r>
      <w:r w:rsidR="003F6A60">
        <w:rPr>
          <w:rFonts w:ascii="Garamond" w:hAnsi="Garamond"/>
          <w:color w:val="000000" w:themeColor="text1"/>
          <w:sz w:val="18"/>
          <w:szCs w:val="18"/>
        </w:rPr>
        <w:t>in</w:t>
      </w:r>
      <w:r w:rsidRPr="003B6E6B">
        <w:rPr>
          <w:rFonts w:ascii="Garamond" w:hAnsi="Garamond"/>
          <w:color w:val="000000" w:themeColor="text1"/>
          <w:sz w:val="18"/>
          <w:szCs w:val="18"/>
        </w:rPr>
        <w:t xml:space="preserve"> </w:t>
      </w:r>
      <w:r w:rsidRPr="003B6E6B">
        <w:rPr>
          <w:rFonts w:ascii="Garamond" w:hAnsi="Garamond"/>
          <w:smallCaps/>
          <w:color w:val="000000" w:themeColor="text1"/>
          <w:sz w:val="18"/>
          <w:szCs w:val="18"/>
        </w:rPr>
        <w:t>Freedom of Information Act Sourcebook: Legislative Materials, Cases, Articles</w:t>
      </w:r>
      <w:r w:rsidR="00410194">
        <w:rPr>
          <w:rFonts w:ascii="Garamond" w:hAnsi="Garamond"/>
          <w:b/>
          <w:bCs/>
          <w:color w:val="000000" w:themeColor="text1"/>
          <w:sz w:val="18"/>
          <w:szCs w:val="18"/>
        </w:rPr>
        <w:t> </w:t>
      </w:r>
      <w:r w:rsidRPr="003B6E6B">
        <w:rPr>
          <w:rFonts w:ascii="Garamond" w:hAnsi="Garamond"/>
          <w:color w:val="000000" w:themeColor="text1"/>
          <w:sz w:val="18"/>
          <w:szCs w:val="18"/>
        </w:rPr>
        <w:t>195 (1974)</w:t>
      </w:r>
      <w:r w:rsidR="003F6A60">
        <w:rPr>
          <w:rFonts w:ascii="Garamond" w:hAnsi="Garamond"/>
          <w:color w:val="000000" w:themeColor="text1"/>
          <w:sz w:val="18"/>
          <w:szCs w:val="18"/>
        </w:rPr>
        <w:t>:</w:t>
      </w:r>
    </w:p>
    <w:p w14:paraId="564ECC24" w14:textId="5ABDAB77" w:rsidR="00252A51" w:rsidRPr="003B6E6B" w:rsidRDefault="00252A51" w:rsidP="00975542">
      <w:pPr>
        <w:pStyle w:val="Notedebasdepage"/>
        <w:jc w:val="both"/>
        <w:rPr>
          <w:rFonts w:ascii="Garamond" w:eastAsiaTheme="minorHAnsi" w:hAnsi="Garamond"/>
          <w:color w:val="000000" w:themeColor="text1"/>
          <w:sz w:val="18"/>
          <w:szCs w:val="18"/>
        </w:rPr>
      </w:pPr>
      <w:r w:rsidRPr="003B6E6B">
        <w:rPr>
          <w:rFonts w:ascii="Garamond" w:hAnsi="Garamond"/>
          <w:color w:val="000000" w:themeColor="text1"/>
          <w:sz w:val="18"/>
          <w:szCs w:val="18"/>
        </w:rPr>
        <w:t>http://www.justice.gov/sites/default/files/oip/legacy/2</w:t>
      </w:r>
      <w:r w:rsidR="007D7373">
        <w:rPr>
          <w:rFonts w:ascii="Garamond" w:hAnsi="Garamond"/>
          <w:color w:val="000000" w:themeColor="text1"/>
          <w:sz w:val="18"/>
          <w:szCs w:val="18"/>
        </w:rPr>
        <w:t>014/07/23/Sourcebk1974Final.pdf.</w:t>
      </w:r>
    </w:p>
  </w:footnote>
  <w:footnote w:id="32">
    <w:p w14:paraId="27FA5B12" w14:textId="5242506E"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Mark Bovens has defined accountability as “a social relationship in which an actor feels an obligation to explain and to justify his or her conduct to some significant other” Mark Bovens, </w:t>
      </w:r>
      <w:r w:rsidRPr="003B6E6B">
        <w:rPr>
          <w:rFonts w:ascii="Garamond" w:hAnsi="Garamond"/>
          <w:i/>
          <w:color w:val="000000" w:themeColor="text1"/>
          <w:sz w:val="18"/>
          <w:szCs w:val="18"/>
        </w:rPr>
        <w:t>Public Accountability</w:t>
      </w:r>
      <w:r w:rsidRPr="003B6E6B">
        <w:rPr>
          <w:rFonts w:ascii="Garamond" w:hAnsi="Garamond"/>
          <w:color w:val="000000" w:themeColor="text1"/>
          <w:sz w:val="18"/>
          <w:szCs w:val="18"/>
        </w:rPr>
        <w:t xml:space="preserve">, in </w:t>
      </w:r>
      <w:r w:rsidRPr="003B6E6B">
        <w:rPr>
          <w:rFonts w:ascii="Garamond" w:hAnsi="Garamond"/>
          <w:smallCaps/>
          <w:color w:val="000000" w:themeColor="text1"/>
          <w:sz w:val="18"/>
          <w:szCs w:val="18"/>
        </w:rPr>
        <w:t>The Oxford Handbook of Public Management</w:t>
      </w:r>
      <w:r w:rsidR="00410194">
        <w:rPr>
          <w:rFonts w:ascii="Garamond" w:hAnsi="Garamond"/>
          <w:color w:val="000000" w:themeColor="text1"/>
          <w:sz w:val="18"/>
          <w:szCs w:val="18"/>
        </w:rPr>
        <w:t> </w:t>
      </w:r>
      <w:r w:rsidRPr="003B6E6B">
        <w:rPr>
          <w:rFonts w:ascii="Garamond" w:hAnsi="Garamond"/>
          <w:color w:val="000000" w:themeColor="text1"/>
          <w:sz w:val="18"/>
          <w:szCs w:val="18"/>
        </w:rPr>
        <w:t>182 [8.3.1] (Ewan Ferlie, Laurence Lynn and Christopher Pollitt eds., Oxford University Press, 2007). In the context of this present discussion, the relationship is between government officials and the public.</w:t>
      </w:r>
    </w:p>
  </w:footnote>
  <w:footnote w:id="33">
    <w:p w14:paraId="4A847AC9" w14:textId="39D15A7C"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Glenn Dickinson, </w:t>
      </w:r>
      <w:r w:rsidRPr="007D7373">
        <w:rPr>
          <w:rFonts w:ascii="Garamond" w:hAnsi="Garamond"/>
          <w:i/>
          <w:color w:val="000000" w:themeColor="text1"/>
          <w:sz w:val="18"/>
          <w:szCs w:val="18"/>
        </w:rPr>
        <w:t>The Supreme Court</w:t>
      </w:r>
      <w:r w:rsidR="00410194">
        <w:rPr>
          <w:rFonts w:ascii="Garamond" w:hAnsi="Garamond"/>
          <w:i/>
          <w:color w:val="000000" w:themeColor="text1"/>
          <w:sz w:val="18"/>
          <w:szCs w:val="18"/>
        </w:rPr>
        <w:t>’</w:t>
      </w:r>
      <w:r w:rsidRPr="007D7373">
        <w:rPr>
          <w:rFonts w:ascii="Garamond" w:hAnsi="Garamond"/>
          <w:i/>
          <w:color w:val="000000" w:themeColor="text1"/>
          <w:sz w:val="18"/>
          <w:szCs w:val="18"/>
        </w:rPr>
        <w:t>s Narrow Reading of the Public Interest Served by the Freedom of Information Act</w:t>
      </w:r>
      <w:r w:rsidRPr="003B6E6B">
        <w:rPr>
          <w:rFonts w:ascii="Garamond" w:hAnsi="Garamond"/>
          <w:color w:val="000000" w:themeColor="text1"/>
          <w:sz w:val="18"/>
          <w:szCs w:val="18"/>
        </w:rPr>
        <w:t xml:space="preserve">, 59 </w:t>
      </w:r>
      <w:r w:rsidRPr="00215A20">
        <w:rPr>
          <w:rFonts w:ascii="Garamond" w:hAnsi="Garamond"/>
          <w:smallCaps/>
          <w:color w:val="000000" w:themeColor="text1"/>
          <w:sz w:val="18"/>
          <w:szCs w:val="18"/>
        </w:rPr>
        <w:t>University of Cincinnati Law Review</w:t>
      </w:r>
      <w:r w:rsidRPr="00215A20">
        <w:rPr>
          <w:rFonts w:ascii="Garamond" w:hAnsi="Garamond"/>
          <w:color w:val="000000" w:themeColor="text1"/>
          <w:sz w:val="18"/>
          <w:szCs w:val="18"/>
        </w:rPr>
        <w:t>,</w:t>
      </w:r>
      <w:r w:rsidRPr="003B6E6B">
        <w:rPr>
          <w:rFonts w:ascii="Garamond" w:hAnsi="Garamond"/>
          <w:color w:val="000000" w:themeColor="text1"/>
          <w:sz w:val="18"/>
          <w:szCs w:val="18"/>
        </w:rPr>
        <w:t xml:space="preserve"> 191, 197 (1990).</w:t>
      </w:r>
    </w:p>
  </w:footnote>
  <w:footnote w:id="34">
    <w:p w14:paraId="5767422A" w14:textId="77777777"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Christopher Hood, </w:t>
      </w:r>
      <w:r w:rsidRPr="00215A20">
        <w:rPr>
          <w:rFonts w:ascii="Garamond" w:hAnsi="Garamond"/>
          <w:i/>
          <w:color w:val="000000" w:themeColor="text1"/>
          <w:sz w:val="18"/>
          <w:szCs w:val="18"/>
        </w:rPr>
        <w:t>Accountability and Transparency: Siamese Twins, Matching Parts, Awkward Couple?</w:t>
      </w:r>
      <w:r w:rsidRPr="003B6E6B">
        <w:rPr>
          <w:rFonts w:ascii="Garamond" w:hAnsi="Garamond"/>
          <w:color w:val="000000" w:themeColor="text1"/>
          <w:sz w:val="18"/>
          <w:szCs w:val="18"/>
        </w:rPr>
        <w:t xml:space="preserve"> 33 </w:t>
      </w:r>
      <w:r w:rsidRPr="00215A20">
        <w:rPr>
          <w:rFonts w:ascii="Garamond" w:hAnsi="Garamond"/>
          <w:smallCaps/>
          <w:color w:val="000000" w:themeColor="text1"/>
          <w:sz w:val="18"/>
          <w:szCs w:val="18"/>
        </w:rPr>
        <w:t>West European Politics</w:t>
      </w:r>
      <w:r w:rsidRPr="003B6E6B">
        <w:rPr>
          <w:rFonts w:ascii="Garamond" w:hAnsi="Garamond"/>
          <w:color w:val="000000" w:themeColor="text1"/>
          <w:sz w:val="18"/>
          <w:szCs w:val="18"/>
        </w:rPr>
        <w:t>, 989 (2010).</w:t>
      </w:r>
    </w:p>
  </w:footnote>
  <w:footnote w:id="35">
    <w:p w14:paraId="2F623A99" w14:textId="244C76D0"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Mark Bovens, </w:t>
      </w:r>
      <w:r w:rsidRPr="003B6E6B">
        <w:rPr>
          <w:rFonts w:ascii="Garamond" w:hAnsi="Garamond"/>
          <w:i/>
          <w:color w:val="000000" w:themeColor="text1"/>
          <w:sz w:val="18"/>
          <w:szCs w:val="18"/>
        </w:rPr>
        <w:t>Public Accountability</w:t>
      </w:r>
      <w:r w:rsidRPr="003B6E6B">
        <w:rPr>
          <w:rFonts w:ascii="Garamond" w:hAnsi="Garamond"/>
          <w:smallCaps/>
          <w:color w:val="000000" w:themeColor="text1"/>
          <w:sz w:val="18"/>
          <w:szCs w:val="18"/>
        </w:rPr>
        <w:t>,</w:t>
      </w:r>
      <w:r w:rsidRPr="003B6E6B">
        <w:rPr>
          <w:rFonts w:ascii="Garamond" w:hAnsi="Garamond"/>
          <w:color w:val="000000" w:themeColor="text1"/>
          <w:sz w:val="18"/>
          <w:szCs w:val="18"/>
        </w:rPr>
        <w:t xml:space="preserve"> in </w:t>
      </w:r>
      <w:r w:rsidRPr="003B6E6B">
        <w:rPr>
          <w:rFonts w:ascii="Garamond" w:hAnsi="Garamond"/>
          <w:smallCaps/>
          <w:color w:val="000000" w:themeColor="text1"/>
          <w:sz w:val="18"/>
          <w:szCs w:val="18"/>
        </w:rPr>
        <w:t>The Oxford Handbook of Public Management</w:t>
      </w:r>
      <w:r w:rsidR="00410194">
        <w:rPr>
          <w:rFonts w:ascii="Garamond" w:hAnsi="Garamond"/>
          <w:color w:val="000000" w:themeColor="text1"/>
          <w:sz w:val="18"/>
          <w:szCs w:val="18"/>
        </w:rPr>
        <w:t> </w:t>
      </w:r>
      <w:r w:rsidRPr="003B6E6B">
        <w:rPr>
          <w:rFonts w:ascii="Garamond" w:hAnsi="Garamond"/>
          <w:color w:val="000000" w:themeColor="text1"/>
          <w:sz w:val="18"/>
          <w:szCs w:val="18"/>
        </w:rPr>
        <w:t xml:space="preserve">182 [8.3.1] (Ewan Ferlie, Laurence Lynn and Christopher Pollitt eds., Oxford University Press, 2007). </w:t>
      </w:r>
    </w:p>
  </w:footnote>
  <w:footnote w:id="36">
    <w:p w14:paraId="666EC44A" w14:textId="029E5138"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Jennifer Shkabatur, </w:t>
      </w:r>
      <w:r w:rsidRPr="00215A20">
        <w:rPr>
          <w:rFonts w:ascii="Garamond" w:hAnsi="Garamond"/>
          <w:i/>
          <w:color w:val="000000" w:themeColor="text1"/>
          <w:sz w:val="18"/>
          <w:szCs w:val="18"/>
        </w:rPr>
        <w:t xml:space="preserve">Transparency With(out) Accountability: </w:t>
      </w:r>
      <w:r w:rsidRPr="00215A20">
        <w:rPr>
          <w:rFonts w:ascii="Garamond" w:hAnsi="Garamond"/>
          <w:bCs/>
          <w:i/>
          <w:color w:val="000000" w:themeColor="text1"/>
          <w:sz w:val="18"/>
          <w:szCs w:val="18"/>
        </w:rPr>
        <w:t>Open Government</w:t>
      </w:r>
      <w:r w:rsidRPr="00215A20">
        <w:rPr>
          <w:rFonts w:ascii="Garamond" w:hAnsi="Garamond"/>
          <w:i/>
          <w:color w:val="000000" w:themeColor="text1"/>
          <w:sz w:val="18"/>
          <w:szCs w:val="18"/>
        </w:rPr>
        <w:t xml:space="preserve"> in the United States</w:t>
      </w:r>
      <w:r w:rsidRPr="003B6E6B">
        <w:rPr>
          <w:rFonts w:ascii="Garamond" w:hAnsi="Garamond"/>
          <w:color w:val="000000" w:themeColor="text1"/>
          <w:sz w:val="18"/>
          <w:szCs w:val="18"/>
        </w:rPr>
        <w:t xml:space="preserve">, 31 </w:t>
      </w:r>
      <w:r w:rsidRPr="00215A20">
        <w:rPr>
          <w:rFonts w:ascii="Garamond" w:hAnsi="Garamond"/>
          <w:smallCaps/>
          <w:color w:val="000000" w:themeColor="text1"/>
          <w:sz w:val="18"/>
          <w:szCs w:val="18"/>
        </w:rPr>
        <w:t>Yale Law &amp; Policy Review</w:t>
      </w:r>
      <w:r w:rsidR="00410194">
        <w:rPr>
          <w:rFonts w:ascii="Garamond" w:hAnsi="Garamond"/>
          <w:color w:val="000000" w:themeColor="text1"/>
          <w:sz w:val="18"/>
          <w:szCs w:val="18"/>
        </w:rPr>
        <w:t> </w:t>
      </w:r>
      <w:r w:rsidRPr="003B6E6B">
        <w:rPr>
          <w:rFonts w:ascii="Garamond" w:hAnsi="Garamond"/>
          <w:color w:val="000000" w:themeColor="text1"/>
          <w:sz w:val="18"/>
          <w:szCs w:val="18"/>
        </w:rPr>
        <w:t>79, 82 (2012).</w:t>
      </w:r>
    </w:p>
  </w:footnote>
  <w:footnote w:id="37">
    <w:p w14:paraId="426D3A60" w14:textId="1F2A68B9"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For an early reference to this in relation to the United States </w:t>
      </w:r>
      <w:r w:rsidR="003F6A60">
        <w:rPr>
          <w:rFonts w:ascii="Garamond" w:hAnsi="Garamond"/>
          <w:i/>
          <w:color w:val="000000" w:themeColor="text1"/>
          <w:sz w:val="18"/>
          <w:szCs w:val="18"/>
        </w:rPr>
        <w:t>see</w:t>
      </w:r>
      <w:r w:rsidRPr="003B6E6B">
        <w:rPr>
          <w:rFonts w:ascii="Garamond" w:hAnsi="Garamond"/>
          <w:color w:val="000000" w:themeColor="text1"/>
          <w:sz w:val="18"/>
          <w:szCs w:val="18"/>
        </w:rPr>
        <w:t xml:space="preserve"> Victor Kramer and David Weinberg, </w:t>
      </w:r>
      <w:r w:rsidRPr="003B6E6B">
        <w:rPr>
          <w:rFonts w:ascii="Garamond" w:hAnsi="Garamond"/>
          <w:i/>
          <w:iCs/>
          <w:color w:val="000000" w:themeColor="text1"/>
          <w:sz w:val="18"/>
          <w:szCs w:val="18"/>
        </w:rPr>
        <w:t>The Freedom of Information Act,</w:t>
      </w:r>
      <w:r w:rsidRPr="003B6E6B">
        <w:rPr>
          <w:rFonts w:ascii="Garamond" w:hAnsi="Garamond"/>
          <w:i/>
          <w:color w:val="000000" w:themeColor="text1"/>
          <w:sz w:val="18"/>
          <w:szCs w:val="18"/>
        </w:rPr>
        <w:t xml:space="preserve"> </w:t>
      </w:r>
      <w:r w:rsidRPr="003B6E6B">
        <w:rPr>
          <w:rFonts w:ascii="Garamond" w:hAnsi="Garamond"/>
          <w:color w:val="000000" w:themeColor="text1"/>
          <w:sz w:val="18"/>
          <w:szCs w:val="18"/>
        </w:rPr>
        <w:t xml:space="preserve">63 </w:t>
      </w:r>
      <w:r w:rsidRPr="00215A20">
        <w:rPr>
          <w:rFonts w:ascii="Garamond" w:hAnsi="Garamond"/>
          <w:smallCaps/>
          <w:color w:val="000000" w:themeColor="text1"/>
          <w:sz w:val="18"/>
          <w:szCs w:val="18"/>
        </w:rPr>
        <w:t>Georgetown Law Journal</w:t>
      </w:r>
      <w:r w:rsidR="00410194">
        <w:rPr>
          <w:rFonts w:ascii="Garamond" w:hAnsi="Garamond"/>
          <w:color w:val="000000" w:themeColor="text1"/>
          <w:sz w:val="18"/>
          <w:szCs w:val="18"/>
        </w:rPr>
        <w:t> </w:t>
      </w:r>
      <w:r w:rsidRPr="003B6E6B">
        <w:rPr>
          <w:rFonts w:ascii="Garamond" w:hAnsi="Garamond"/>
          <w:color w:val="000000" w:themeColor="text1"/>
          <w:sz w:val="18"/>
          <w:szCs w:val="18"/>
        </w:rPr>
        <w:t>49, 49 (1974).</w:t>
      </w:r>
    </w:p>
  </w:footnote>
  <w:footnote w:id="38">
    <w:p w14:paraId="73655980" w14:textId="054BBA2D"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Ben Worthy, </w:t>
      </w:r>
      <w:r w:rsidRPr="003B6E6B">
        <w:rPr>
          <w:rFonts w:ascii="Garamond" w:hAnsi="Garamond"/>
          <w:i/>
          <w:color w:val="000000" w:themeColor="text1"/>
          <w:sz w:val="18"/>
          <w:szCs w:val="18"/>
        </w:rPr>
        <w:t>More Open But Not More Trusted? The Impact of FOI on British Central Government,</w:t>
      </w:r>
      <w:r w:rsidRPr="003B6E6B">
        <w:rPr>
          <w:rFonts w:ascii="Garamond" w:hAnsi="Garamond"/>
          <w:color w:val="000000" w:themeColor="text1"/>
          <w:sz w:val="18"/>
          <w:szCs w:val="18"/>
        </w:rPr>
        <w:t xml:space="preserve"> 23 </w:t>
      </w:r>
      <w:r w:rsidRPr="00215A20">
        <w:rPr>
          <w:rFonts w:ascii="Garamond" w:hAnsi="Garamond"/>
          <w:smallCaps/>
          <w:color w:val="000000" w:themeColor="text1"/>
          <w:sz w:val="18"/>
          <w:szCs w:val="18"/>
        </w:rPr>
        <w:t>Governance</w:t>
      </w:r>
      <w:r w:rsidR="00410194">
        <w:rPr>
          <w:rFonts w:ascii="Garamond" w:hAnsi="Garamond"/>
          <w:color w:val="000000" w:themeColor="text1"/>
          <w:sz w:val="18"/>
          <w:szCs w:val="18"/>
        </w:rPr>
        <w:t> </w:t>
      </w:r>
      <w:r w:rsidRPr="003B6E6B">
        <w:rPr>
          <w:rFonts w:ascii="Garamond" w:hAnsi="Garamond"/>
          <w:color w:val="000000" w:themeColor="text1"/>
          <w:sz w:val="18"/>
          <w:szCs w:val="18"/>
        </w:rPr>
        <w:t xml:space="preserve">561 (2010); Peter Riddell, </w:t>
      </w:r>
      <w:r w:rsidRPr="003B6E6B">
        <w:rPr>
          <w:rFonts w:ascii="Garamond" w:hAnsi="Garamond"/>
          <w:i/>
          <w:color w:val="000000" w:themeColor="text1"/>
          <w:sz w:val="18"/>
          <w:szCs w:val="18"/>
        </w:rPr>
        <w:t>Impact of Transparency on Accountability</w:t>
      </w:r>
      <w:r w:rsidRPr="003B6E6B">
        <w:rPr>
          <w:rFonts w:ascii="Garamond" w:hAnsi="Garamond"/>
          <w:color w:val="000000" w:themeColor="text1"/>
          <w:sz w:val="18"/>
          <w:szCs w:val="18"/>
        </w:rPr>
        <w:t xml:space="preserve"> in </w:t>
      </w:r>
      <w:r w:rsidRPr="003B6E6B">
        <w:rPr>
          <w:rFonts w:ascii="Garamond" w:hAnsi="Garamond"/>
          <w:smallCaps/>
          <w:color w:val="000000" w:themeColor="text1"/>
          <w:sz w:val="18"/>
          <w:szCs w:val="18"/>
        </w:rPr>
        <w:t>Transparency in Politics and the Media; Accountability and Open Government</w:t>
      </w:r>
      <w:r w:rsidR="00410194">
        <w:rPr>
          <w:rFonts w:ascii="Garamond" w:hAnsi="Garamond"/>
          <w:smallCaps/>
          <w:color w:val="000000" w:themeColor="text1"/>
          <w:sz w:val="18"/>
          <w:szCs w:val="18"/>
        </w:rPr>
        <w:t> </w:t>
      </w:r>
      <w:r w:rsidRPr="003B6E6B">
        <w:rPr>
          <w:rFonts w:ascii="Garamond" w:hAnsi="Garamond"/>
          <w:color w:val="000000" w:themeColor="text1"/>
          <w:sz w:val="18"/>
          <w:szCs w:val="18"/>
        </w:rPr>
        <w:t>19, 27 – 30</w:t>
      </w:r>
      <w:r w:rsidRPr="003B6E6B">
        <w:rPr>
          <w:rFonts w:ascii="Garamond" w:hAnsi="Garamond"/>
          <w:smallCaps/>
          <w:color w:val="000000" w:themeColor="text1"/>
          <w:sz w:val="18"/>
          <w:szCs w:val="18"/>
        </w:rPr>
        <w:t xml:space="preserve"> </w:t>
      </w:r>
      <w:r w:rsidRPr="003B6E6B">
        <w:rPr>
          <w:rFonts w:ascii="Garamond" w:hAnsi="Garamond"/>
          <w:color w:val="000000" w:themeColor="text1"/>
          <w:sz w:val="18"/>
          <w:szCs w:val="18"/>
        </w:rPr>
        <w:t>(Nigel Bowles, James Hamilton, and David Levy eds., IB Tauris</w:t>
      </w:r>
      <w:r w:rsidR="00410194">
        <w:rPr>
          <w:rFonts w:ascii="Garamond" w:hAnsi="Garamond"/>
          <w:color w:val="000000" w:themeColor="text1"/>
          <w:sz w:val="18"/>
          <w:szCs w:val="18"/>
        </w:rPr>
        <w:t> </w:t>
      </w:r>
      <w:r w:rsidRPr="003B6E6B">
        <w:rPr>
          <w:rFonts w:ascii="Garamond" w:hAnsi="Garamond"/>
          <w:color w:val="000000" w:themeColor="text1"/>
          <w:sz w:val="18"/>
          <w:szCs w:val="18"/>
        </w:rPr>
        <w:t xml:space="preserve">2013). </w:t>
      </w:r>
    </w:p>
  </w:footnote>
  <w:footnote w:id="39">
    <w:p w14:paraId="12278188" w14:textId="33C8C0DA"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Anne-Marie Gingras, </w:t>
      </w:r>
      <w:r w:rsidRPr="00215A20">
        <w:rPr>
          <w:rFonts w:ascii="Garamond" w:hAnsi="Garamond"/>
          <w:i/>
          <w:color w:val="000000" w:themeColor="text1"/>
          <w:sz w:val="18"/>
          <w:szCs w:val="18"/>
        </w:rPr>
        <w:t>Access to information: An asset for democracy or ammunition for political conflict, or both?</w:t>
      </w:r>
      <w:r w:rsidR="00215A20">
        <w:rPr>
          <w:rFonts w:ascii="Garamond" w:hAnsi="Garamond"/>
          <w:i/>
          <w:color w:val="000000" w:themeColor="text1"/>
          <w:sz w:val="18"/>
          <w:szCs w:val="18"/>
        </w:rPr>
        <w:t>,</w:t>
      </w:r>
      <w:r w:rsidRPr="003B6E6B">
        <w:rPr>
          <w:rFonts w:ascii="Garamond" w:hAnsi="Garamond"/>
          <w:color w:val="000000" w:themeColor="text1"/>
          <w:sz w:val="18"/>
          <w:szCs w:val="18"/>
        </w:rPr>
        <w:t xml:space="preserve"> 55 (2) </w:t>
      </w:r>
      <w:r w:rsidRPr="00215A20">
        <w:rPr>
          <w:rFonts w:ascii="Garamond" w:hAnsi="Garamond"/>
          <w:smallCaps/>
          <w:color w:val="000000" w:themeColor="text1"/>
          <w:sz w:val="18"/>
          <w:szCs w:val="18"/>
        </w:rPr>
        <w:t>Canadian Public Administration</w:t>
      </w:r>
      <w:r w:rsidR="00410194">
        <w:rPr>
          <w:rFonts w:ascii="Garamond" w:hAnsi="Garamond"/>
          <w:color w:val="000000" w:themeColor="text1"/>
          <w:sz w:val="18"/>
          <w:szCs w:val="18"/>
        </w:rPr>
        <w:t> </w:t>
      </w:r>
      <w:r w:rsidRPr="003B6E6B">
        <w:rPr>
          <w:rFonts w:ascii="Garamond" w:hAnsi="Garamond"/>
          <w:color w:val="000000" w:themeColor="text1"/>
          <w:sz w:val="18"/>
          <w:szCs w:val="18"/>
        </w:rPr>
        <w:t>221 (2012).</w:t>
      </w:r>
    </w:p>
  </w:footnote>
  <w:footnote w:id="40">
    <w:p w14:paraId="10A105F7" w14:textId="590504C2"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Kenneth Davis, </w:t>
      </w:r>
      <w:r w:rsidRPr="003B6E6B">
        <w:rPr>
          <w:rFonts w:ascii="Garamond" w:hAnsi="Garamond"/>
          <w:i/>
          <w:color w:val="000000" w:themeColor="text1"/>
          <w:sz w:val="18"/>
          <w:szCs w:val="18"/>
        </w:rPr>
        <w:t>The Information Act: A Preliminary Analysis,</w:t>
      </w:r>
      <w:r w:rsidRPr="003B6E6B">
        <w:rPr>
          <w:rFonts w:ascii="Garamond" w:hAnsi="Garamond"/>
          <w:color w:val="000000" w:themeColor="text1"/>
          <w:sz w:val="18"/>
          <w:szCs w:val="18"/>
        </w:rPr>
        <w:t xml:space="preserve"> 34 </w:t>
      </w:r>
      <w:r w:rsidRPr="00215A20">
        <w:rPr>
          <w:rFonts w:ascii="Garamond" w:hAnsi="Garamond"/>
          <w:smallCaps/>
          <w:color w:val="000000" w:themeColor="text1"/>
          <w:sz w:val="18"/>
          <w:szCs w:val="18"/>
        </w:rPr>
        <w:t>University of Chicago Law Review</w:t>
      </w:r>
      <w:r w:rsidR="00410194">
        <w:rPr>
          <w:rFonts w:ascii="Garamond" w:hAnsi="Garamond"/>
          <w:color w:val="000000" w:themeColor="text1"/>
          <w:sz w:val="18"/>
          <w:szCs w:val="18"/>
        </w:rPr>
        <w:t> </w:t>
      </w:r>
      <w:r w:rsidRPr="003B6E6B">
        <w:rPr>
          <w:rFonts w:ascii="Garamond" w:hAnsi="Garamond"/>
          <w:color w:val="000000" w:themeColor="text1"/>
          <w:sz w:val="18"/>
          <w:szCs w:val="18"/>
        </w:rPr>
        <w:t>761, 769 (1967).</w:t>
      </w:r>
    </w:p>
  </w:footnote>
  <w:footnote w:id="41">
    <w:p w14:paraId="0C6E9A1E" w14:textId="3B09A175"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w:t>
      </w:r>
      <w:r w:rsidRPr="003B6E6B">
        <w:rPr>
          <w:rFonts w:ascii="Garamond" w:hAnsi="Garamond"/>
          <w:i/>
          <w:iCs/>
          <w:color w:val="000000" w:themeColor="text1"/>
          <w:sz w:val="18"/>
          <w:szCs w:val="18"/>
        </w:rPr>
        <w:t>Kioa v West,</w:t>
      </w:r>
      <w:r w:rsidRPr="003B6E6B">
        <w:rPr>
          <w:rFonts w:ascii="Garamond" w:hAnsi="Garamond"/>
          <w:color w:val="000000" w:themeColor="text1"/>
          <w:sz w:val="18"/>
          <w:szCs w:val="18"/>
        </w:rPr>
        <w:t xml:space="preserve"> 159 CLR</w:t>
      </w:r>
      <w:r w:rsidR="00410194">
        <w:rPr>
          <w:rFonts w:ascii="Garamond" w:hAnsi="Garamond"/>
          <w:color w:val="000000" w:themeColor="text1"/>
          <w:sz w:val="18"/>
          <w:szCs w:val="18"/>
        </w:rPr>
        <w:t> </w:t>
      </w:r>
      <w:r w:rsidRPr="003B6E6B">
        <w:rPr>
          <w:rFonts w:ascii="Garamond" w:hAnsi="Garamond"/>
          <w:color w:val="000000" w:themeColor="text1"/>
          <w:sz w:val="18"/>
          <w:szCs w:val="18"/>
        </w:rPr>
        <w:t>550 (1985).</w:t>
      </w:r>
    </w:p>
  </w:footnote>
  <w:footnote w:id="42">
    <w:p w14:paraId="0A1B2C05" w14:textId="1CAC9022"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w:t>
      </w:r>
      <w:r w:rsidRPr="003B6E6B">
        <w:rPr>
          <w:rFonts w:ascii="Garamond" w:hAnsi="Garamond"/>
          <w:i/>
          <w:color w:val="000000" w:themeColor="text1"/>
          <w:sz w:val="18"/>
          <w:szCs w:val="18"/>
        </w:rPr>
        <w:t>Freedom of Information Act</w:t>
      </w:r>
      <w:r w:rsidR="00410194">
        <w:rPr>
          <w:rFonts w:ascii="Garamond" w:hAnsi="Garamond"/>
          <w:i/>
          <w:color w:val="000000" w:themeColor="text1"/>
          <w:sz w:val="18"/>
          <w:szCs w:val="18"/>
        </w:rPr>
        <w:t> </w:t>
      </w:r>
      <w:r w:rsidRPr="003B6E6B">
        <w:rPr>
          <w:rFonts w:ascii="Garamond" w:hAnsi="Garamond"/>
          <w:i/>
          <w:color w:val="000000" w:themeColor="text1"/>
          <w:sz w:val="18"/>
          <w:szCs w:val="18"/>
        </w:rPr>
        <w:t>1982</w:t>
      </w:r>
      <w:r w:rsidRPr="003B6E6B">
        <w:rPr>
          <w:rFonts w:ascii="Garamond" w:hAnsi="Garamond"/>
          <w:color w:val="000000" w:themeColor="text1"/>
          <w:sz w:val="18"/>
          <w:szCs w:val="18"/>
        </w:rPr>
        <w:t xml:space="preserve"> (Cth). While the original proposals to introduce a </w:t>
      </w:r>
      <w:r w:rsidR="009A13B4">
        <w:rPr>
          <w:rFonts w:ascii="Garamond" w:hAnsi="Garamond"/>
          <w:color w:val="000000" w:themeColor="text1"/>
          <w:sz w:val="18"/>
          <w:szCs w:val="18"/>
        </w:rPr>
        <w:t>U.S.</w:t>
      </w:r>
      <w:r w:rsidR="00410194">
        <w:rPr>
          <w:rFonts w:ascii="Garamond" w:hAnsi="Garamond"/>
          <w:color w:val="000000" w:themeColor="text1"/>
          <w:sz w:val="18"/>
          <w:szCs w:val="18"/>
        </w:rPr>
        <w:t>-</w:t>
      </w:r>
      <w:r w:rsidRPr="003B6E6B">
        <w:rPr>
          <w:rFonts w:ascii="Garamond" w:hAnsi="Garamond"/>
          <w:color w:val="000000" w:themeColor="text1"/>
          <w:sz w:val="18"/>
          <w:szCs w:val="18"/>
        </w:rPr>
        <w:t xml:space="preserve">style FOI Act emerged with the Whitlam Labour Government in 1972, it was a Coalition Government under Prime Minster Fraser that brought the reform process to completion, and the task of implementing the reforms then fell to the Hawke Labor government elected in March 1983. For a history of the reforms </w:t>
      </w:r>
      <w:r w:rsidR="003F6A60">
        <w:rPr>
          <w:rFonts w:ascii="Garamond" w:hAnsi="Garamond"/>
          <w:i/>
          <w:color w:val="000000" w:themeColor="text1"/>
          <w:sz w:val="18"/>
          <w:szCs w:val="18"/>
        </w:rPr>
        <w:t>see</w:t>
      </w:r>
      <w:r w:rsidRPr="003B6E6B">
        <w:rPr>
          <w:rFonts w:ascii="Garamond" w:hAnsi="Garamond"/>
          <w:color w:val="000000" w:themeColor="text1"/>
          <w:sz w:val="18"/>
          <w:szCs w:val="18"/>
        </w:rPr>
        <w:t xml:space="preserve"> </w:t>
      </w:r>
      <w:r w:rsidRPr="003B6E6B">
        <w:rPr>
          <w:rFonts w:ascii="Garamond" w:hAnsi="Garamond"/>
          <w:smallCaps/>
          <w:color w:val="000000" w:themeColor="text1"/>
          <w:sz w:val="18"/>
          <w:szCs w:val="18"/>
        </w:rPr>
        <w:t>Greg Terrill, Secrecy and</w:t>
      </w:r>
      <w:r w:rsidRPr="003B6E6B">
        <w:rPr>
          <w:rFonts w:ascii="Garamond" w:hAnsi="Garamond"/>
          <w:i/>
          <w:iCs/>
          <w:color w:val="000000" w:themeColor="text1"/>
          <w:sz w:val="18"/>
          <w:szCs w:val="18"/>
        </w:rPr>
        <w:t xml:space="preserve"> </w:t>
      </w:r>
      <w:r w:rsidRPr="003B6E6B">
        <w:rPr>
          <w:rFonts w:ascii="Garamond" w:hAnsi="Garamond"/>
          <w:smallCaps/>
          <w:color w:val="000000" w:themeColor="text1"/>
          <w:sz w:val="18"/>
          <w:szCs w:val="18"/>
        </w:rPr>
        <w:t>Openness: The Federal Government from Menzies to Whitlam and Beyond</w:t>
      </w:r>
      <w:r w:rsidRPr="003B6E6B">
        <w:rPr>
          <w:rFonts w:ascii="Garamond" w:hAnsi="Garamond"/>
          <w:color w:val="000000" w:themeColor="text1"/>
          <w:sz w:val="18"/>
          <w:szCs w:val="18"/>
        </w:rPr>
        <w:t xml:space="preserve"> (Melbourne University Press</w:t>
      </w:r>
      <w:r w:rsidR="00410194">
        <w:rPr>
          <w:rFonts w:ascii="Garamond" w:hAnsi="Garamond"/>
          <w:color w:val="000000" w:themeColor="text1"/>
          <w:sz w:val="18"/>
          <w:szCs w:val="18"/>
        </w:rPr>
        <w:t> </w:t>
      </w:r>
      <w:r w:rsidRPr="003B6E6B">
        <w:rPr>
          <w:rFonts w:ascii="Garamond" w:hAnsi="Garamond"/>
          <w:color w:val="000000" w:themeColor="text1"/>
          <w:sz w:val="18"/>
          <w:szCs w:val="18"/>
        </w:rPr>
        <w:t>2000). The Australian States also introduced FOI throughout the 1980s and 1990s commencing with Victoria in 1982:</w:t>
      </w:r>
      <w:r w:rsidRPr="003B6E6B">
        <w:rPr>
          <w:rStyle w:val="xfootnoteitalic"/>
          <w:rFonts w:ascii="Garamond" w:hAnsi="Garamond"/>
          <w:color w:val="000000" w:themeColor="text1"/>
          <w:sz w:val="18"/>
          <w:szCs w:val="18"/>
        </w:rPr>
        <w:t xml:space="preserve"> Freedom of Information Act</w:t>
      </w:r>
      <w:r w:rsidR="00410194">
        <w:rPr>
          <w:rStyle w:val="xfootnoteitalic"/>
          <w:rFonts w:ascii="Garamond" w:hAnsi="Garamond"/>
          <w:color w:val="000000" w:themeColor="text1"/>
          <w:sz w:val="18"/>
          <w:szCs w:val="18"/>
        </w:rPr>
        <w:t> </w:t>
      </w:r>
      <w:r w:rsidRPr="003B6E6B">
        <w:rPr>
          <w:rStyle w:val="xfootnoteitalic"/>
          <w:rFonts w:ascii="Garamond" w:hAnsi="Garamond"/>
          <w:color w:val="000000" w:themeColor="text1"/>
          <w:sz w:val="18"/>
          <w:szCs w:val="18"/>
        </w:rPr>
        <w:t>1982</w:t>
      </w:r>
      <w:r w:rsidRPr="003B6E6B">
        <w:rPr>
          <w:rFonts w:ascii="Garamond" w:hAnsi="Garamond"/>
          <w:color w:val="000000" w:themeColor="text1"/>
          <w:sz w:val="18"/>
          <w:szCs w:val="18"/>
        </w:rPr>
        <w:t xml:space="preserve"> (Vic).</w:t>
      </w:r>
    </w:p>
  </w:footnote>
  <w:footnote w:id="43">
    <w:p w14:paraId="4F747B5B" w14:textId="5E84FDC8" w:rsidR="00252A51" w:rsidRPr="003B6E6B" w:rsidRDefault="00252A51" w:rsidP="00975542">
      <w:pPr>
        <w:pStyle w:val="Notedebasdepage"/>
        <w:jc w:val="both"/>
        <w:rPr>
          <w:rFonts w:ascii="Garamond" w:hAnsi="Garamond"/>
          <w:b/>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w:t>
      </w:r>
      <w:dir w:val="ltr">
        <w:r w:rsidRPr="003B6E6B">
          <w:rPr>
            <w:rFonts w:ascii="Garamond" w:hAnsi="Garamond"/>
            <w:color w:val="000000" w:themeColor="text1"/>
            <w:sz w:val="18"/>
            <w:szCs w:val="18"/>
          </w:rPr>
          <w:t xml:space="preserve">Australia. Senate Standing Committee on Constitutional and Legal Affairs, </w:t>
        </w:r>
        <w:r w:rsidRPr="00215A20">
          <w:rPr>
            <w:rFonts w:ascii="Garamond" w:hAnsi="Garamond"/>
            <w:i/>
            <w:iCs/>
            <w:color w:val="000000" w:themeColor="text1"/>
            <w:sz w:val="18"/>
            <w:szCs w:val="18"/>
          </w:rPr>
          <w:t xml:space="preserve">Freedom of Information; Report </w:t>
        </w:r>
        <w:r w:rsidRPr="00215A20">
          <w:rPr>
            <w:rFonts w:ascii="Garamond" w:hAnsi="Garamond"/>
            <w:i/>
            <w:color w:val="000000" w:themeColor="text1"/>
            <w:sz w:val="18"/>
            <w:szCs w:val="18"/>
          </w:rPr>
          <w:t>on the Freedom of Information Bill</w:t>
        </w:r>
        <w:r w:rsidR="00410194">
          <w:rPr>
            <w:rFonts w:ascii="Garamond" w:hAnsi="Garamond"/>
            <w:i/>
            <w:color w:val="000000" w:themeColor="text1"/>
            <w:sz w:val="18"/>
            <w:szCs w:val="18"/>
          </w:rPr>
          <w:t> </w:t>
        </w:r>
        <w:r w:rsidRPr="00215A20">
          <w:rPr>
            <w:rFonts w:ascii="Garamond" w:hAnsi="Garamond"/>
            <w:i/>
            <w:color w:val="000000" w:themeColor="text1"/>
            <w:sz w:val="18"/>
            <w:szCs w:val="18"/>
          </w:rPr>
          <w:t>1978 and aspe</w:t>
        </w:r>
        <w:r w:rsidRPr="003B6E6B">
          <w:rPr>
            <w:rFonts w:ascii="Garamond" w:hAnsi="Garamond"/>
            <w:color w:val="000000" w:themeColor="text1"/>
            <w:sz w:val="18"/>
            <w:szCs w:val="18"/>
          </w:rPr>
          <w:t>cts of the Archives Bill</w:t>
        </w:r>
        <w:r w:rsidR="00410194">
          <w:rPr>
            <w:rFonts w:ascii="Garamond" w:hAnsi="Garamond"/>
            <w:color w:val="000000" w:themeColor="text1"/>
            <w:sz w:val="18"/>
            <w:szCs w:val="18"/>
          </w:rPr>
          <w:t> </w:t>
        </w:r>
        <w:r w:rsidRPr="003B6E6B">
          <w:rPr>
            <w:rFonts w:ascii="Garamond" w:hAnsi="Garamond"/>
            <w:color w:val="000000" w:themeColor="text1"/>
            <w:sz w:val="18"/>
            <w:szCs w:val="18"/>
          </w:rPr>
          <w:t>1978 (1979).</w:t>
        </w:r>
        <w:r w:rsidRPr="003B6E6B">
          <w:rPr>
            <w:rFonts w:ascii="Garamond" w:hAnsi="Garamond"/>
            <w:color w:val="000000" w:themeColor="text1"/>
            <w:sz w:val="18"/>
            <w:szCs w:val="18"/>
          </w:rPr>
          <w:t>‬</w:t>
        </w:r>
        <w:r w:rsidRPr="003B6E6B">
          <w:rPr>
            <w:rFonts w:ascii="Garamond" w:hAnsi="Garamond"/>
            <w:color w:val="000000" w:themeColor="text1"/>
            <w:sz w:val="18"/>
            <w:szCs w:val="18"/>
          </w:rPr>
          <w:t>‬</w:t>
        </w:r>
        <w:r w:rsidRPr="003B6E6B">
          <w:rPr>
            <w:rFonts w:ascii="Garamond" w:hAnsi="Garamond"/>
            <w:color w:val="000000" w:themeColor="text1"/>
            <w:sz w:val="18"/>
            <w:szCs w:val="18"/>
          </w:rPr>
          <w:t>‬</w:t>
        </w:r>
        <w:r w:rsidRPr="003B6E6B">
          <w:rPr>
            <w:rFonts w:ascii="Garamond" w:hAnsi="Garamond"/>
            <w:color w:val="000000" w:themeColor="text1"/>
            <w:sz w:val="18"/>
            <w:szCs w:val="18"/>
          </w:rPr>
          <w:t>‬</w:t>
        </w:r>
        <w:r w:rsidRPr="003B6E6B">
          <w:rPr>
            <w:rFonts w:ascii="Garamond" w:hAnsi="Garamond"/>
            <w:color w:val="000000" w:themeColor="text1"/>
            <w:sz w:val="18"/>
            <w:szCs w:val="18"/>
          </w:rPr>
          <w:t>‬</w:t>
        </w:r>
        <w:r w:rsidRPr="003B6E6B">
          <w:rPr>
            <w:rFonts w:ascii="Garamond" w:hAnsi="Garamond"/>
            <w:color w:val="000000" w:themeColor="text1"/>
            <w:sz w:val="18"/>
            <w:szCs w:val="18"/>
          </w:rPr>
          <w:t>‬</w:t>
        </w:r>
        <w:r w:rsidRPr="003B6E6B">
          <w:rPr>
            <w:rFonts w:ascii="Garamond" w:hAnsi="Garamond"/>
            <w:color w:val="000000" w:themeColor="text1"/>
            <w:sz w:val="18"/>
            <w:szCs w:val="18"/>
          </w:rPr>
          <w:t>‬</w:t>
        </w:r>
        <w:r w:rsidRPr="003B6E6B">
          <w:rPr>
            <w:rFonts w:ascii="Garamond" w:hAnsi="Garamond"/>
            <w:color w:val="000000" w:themeColor="text1"/>
            <w:sz w:val="18"/>
            <w:szCs w:val="18"/>
          </w:rPr>
          <w:t>‬</w:t>
        </w:r>
        <w:r w:rsidRPr="003B6E6B">
          <w:rPr>
            <w:rFonts w:ascii="Garamond" w:hAnsi="Garamond"/>
            <w:color w:val="000000" w:themeColor="text1"/>
            <w:sz w:val="18"/>
            <w:szCs w:val="18"/>
          </w:rPr>
          <w:t>‬</w:t>
        </w:r>
        <w:r w:rsidRPr="003B6E6B">
          <w:rPr>
            <w:rFonts w:ascii="Garamond" w:hAnsi="Garamond"/>
            <w:color w:val="000000" w:themeColor="text1"/>
            <w:sz w:val="18"/>
            <w:szCs w:val="18"/>
          </w:rPr>
          <w:t>‬</w:t>
        </w:r>
        <w:r w:rsidRPr="003B6E6B">
          <w:rPr>
            <w:rFonts w:ascii="Garamond" w:hAnsi="Garamond"/>
            <w:color w:val="000000" w:themeColor="text1"/>
            <w:sz w:val="18"/>
            <w:szCs w:val="18"/>
          </w:rPr>
          <w:t>‬</w:t>
        </w:r>
        <w:r w:rsidRPr="003B6E6B">
          <w:rPr>
            <w:rFonts w:ascii="Garamond" w:hAnsi="Garamond"/>
            <w:color w:val="000000" w:themeColor="text1"/>
            <w:sz w:val="18"/>
            <w:szCs w:val="18"/>
          </w:rPr>
          <w:t>‬</w:t>
        </w:r>
        <w:r w:rsidRPr="003B6E6B">
          <w:rPr>
            <w:rFonts w:ascii="Garamond" w:hAnsi="Garamond"/>
            <w:color w:val="000000" w:themeColor="text1"/>
            <w:sz w:val="18"/>
            <w:szCs w:val="18"/>
          </w:rPr>
          <w:t>‬</w:t>
        </w:r>
        <w:r w:rsidRPr="003B6E6B">
          <w:rPr>
            <w:rFonts w:ascii="Garamond" w:hAnsi="Garamond"/>
            <w:color w:val="000000" w:themeColor="text1"/>
            <w:sz w:val="18"/>
            <w:szCs w:val="18"/>
          </w:rPr>
          <w:t>‬</w:t>
        </w:r>
        <w:r w:rsidRPr="003B6E6B">
          <w:rPr>
            <w:rFonts w:ascii="Garamond" w:hAnsi="Garamond"/>
            <w:color w:val="000000" w:themeColor="text1"/>
            <w:sz w:val="18"/>
            <w:szCs w:val="18"/>
          </w:rPr>
          <w:t>‬</w:t>
        </w:r>
        <w:r w:rsidRPr="003B6E6B">
          <w:rPr>
            <w:rFonts w:ascii="Garamond" w:hAnsi="Garamond"/>
            <w:color w:val="000000" w:themeColor="text1"/>
            <w:sz w:val="18"/>
            <w:szCs w:val="18"/>
          </w:rPr>
          <w:t>‬</w:t>
        </w:r>
        <w:r w:rsidRPr="003B6E6B">
          <w:rPr>
            <w:rFonts w:ascii="Garamond" w:hAnsi="Garamond"/>
            <w:color w:val="000000" w:themeColor="text1"/>
            <w:sz w:val="18"/>
            <w:szCs w:val="18"/>
          </w:rPr>
          <w:t>‬</w:t>
        </w:r>
        <w:r w:rsidRPr="003B6E6B">
          <w:rPr>
            <w:rFonts w:ascii="Garamond" w:hAnsi="Garamond"/>
            <w:color w:val="000000" w:themeColor="text1"/>
            <w:sz w:val="18"/>
            <w:szCs w:val="18"/>
          </w:rPr>
          <w:t>‬</w:t>
        </w:r>
        <w:r w:rsidRPr="003B6E6B">
          <w:rPr>
            <w:rFonts w:ascii="Garamond" w:hAnsi="Garamond"/>
            <w:color w:val="000000" w:themeColor="text1"/>
            <w:sz w:val="18"/>
            <w:szCs w:val="18"/>
          </w:rPr>
          <w:t>‬</w:t>
        </w:r>
        <w:r w:rsidRPr="003B6E6B">
          <w:rPr>
            <w:rFonts w:ascii="Garamond" w:hAnsi="Garamond"/>
            <w:color w:val="000000" w:themeColor="text1"/>
            <w:sz w:val="18"/>
            <w:szCs w:val="18"/>
          </w:rPr>
          <w:t>‬</w:t>
        </w:r>
        <w:r w:rsidRPr="003B6E6B">
          <w:rPr>
            <w:rFonts w:ascii="Garamond" w:hAnsi="Garamond"/>
            <w:color w:val="000000" w:themeColor="text1"/>
            <w:sz w:val="18"/>
            <w:szCs w:val="18"/>
          </w:rPr>
          <w:t>‬</w:t>
        </w:r>
        <w:r w:rsidRPr="003B6E6B">
          <w:rPr>
            <w:rFonts w:ascii="Garamond" w:hAnsi="Garamond"/>
            <w:color w:val="000000" w:themeColor="text1"/>
            <w:sz w:val="18"/>
            <w:szCs w:val="18"/>
          </w:rPr>
          <w:t>‬</w:t>
        </w:r>
        <w:r w:rsidR="00892D07" w:rsidRPr="003B6E6B">
          <w:rPr>
            <w:rFonts w:ascii="Garamond" w:hAnsi="Garamond"/>
            <w:color w:val="000000" w:themeColor="text1"/>
            <w:sz w:val="18"/>
            <w:szCs w:val="18"/>
          </w:rPr>
          <w:t>‬</w:t>
        </w:r>
        <w:r w:rsidR="00191BD3" w:rsidRPr="003B6E6B">
          <w:rPr>
            <w:color w:val="000000" w:themeColor="text1"/>
          </w:rPr>
          <w:t>‬</w:t>
        </w:r>
        <w:r w:rsidR="0013354C" w:rsidRPr="003B6E6B">
          <w:rPr>
            <w:color w:val="000000" w:themeColor="text1"/>
          </w:rPr>
          <w:t>‬</w:t>
        </w:r>
        <w:r w:rsidR="00BA5B40" w:rsidRPr="003B6E6B">
          <w:rPr>
            <w:color w:val="000000" w:themeColor="text1"/>
          </w:rPr>
          <w:t>‬</w:t>
        </w:r>
        <w:r w:rsidR="001F4E88" w:rsidRPr="003B6E6B">
          <w:rPr>
            <w:color w:val="000000" w:themeColor="text1"/>
          </w:rPr>
          <w:t>‬</w:t>
        </w:r>
        <w:r w:rsidR="00AE1A8C">
          <w:t>‬</w:t>
        </w:r>
        <w:r w:rsidR="00FB614D">
          <w:t>‬</w:t>
        </w:r>
      </w:dir>
    </w:p>
  </w:footnote>
  <w:footnote w:id="44">
    <w:p w14:paraId="42AD2D19" w14:textId="77777777"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w:t>
      </w:r>
      <w:r w:rsidRPr="00215A20">
        <w:rPr>
          <w:rFonts w:ascii="Garamond" w:hAnsi="Garamond"/>
          <w:i/>
          <w:color w:val="000000" w:themeColor="text1"/>
          <w:sz w:val="18"/>
          <w:szCs w:val="18"/>
        </w:rPr>
        <w:t>Ibid.</w:t>
      </w:r>
    </w:p>
  </w:footnote>
  <w:footnote w:id="45">
    <w:p w14:paraId="08A7E629" w14:textId="77777777"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w:t>
      </w:r>
      <w:r w:rsidRPr="003B6E6B">
        <w:rPr>
          <w:rFonts w:ascii="Garamond" w:hAnsi="Garamond"/>
          <w:i/>
          <w:color w:val="000000" w:themeColor="text1"/>
          <w:sz w:val="18"/>
          <w:szCs w:val="18"/>
        </w:rPr>
        <w:t>Ibid</w:t>
      </w:r>
      <w:r w:rsidRPr="003B6E6B">
        <w:rPr>
          <w:rFonts w:ascii="Garamond" w:hAnsi="Garamond"/>
          <w:color w:val="000000" w:themeColor="text1"/>
          <w:sz w:val="18"/>
          <w:szCs w:val="18"/>
        </w:rPr>
        <w:t xml:space="preserve"> [3.5] (emphasis added).</w:t>
      </w:r>
    </w:p>
  </w:footnote>
  <w:footnote w:id="46">
    <w:p w14:paraId="2C3570B6" w14:textId="364B1542"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Freedom of Information Act</w:t>
      </w:r>
      <w:r w:rsidR="00410194">
        <w:rPr>
          <w:rFonts w:ascii="Garamond" w:hAnsi="Garamond"/>
          <w:color w:val="000000" w:themeColor="text1"/>
          <w:sz w:val="18"/>
          <w:szCs w:val="18"/>
        </w:rPr>
        <w:t> </w:t>
      </w:r>
      <w:r w:rsidRPr="003B6E6B">
        <w:rPr>
          <w:rFonts w:ascii="Garamond" w:hAnsi="Garamond"/>
          <w:color w:val="000000" w:themeColor="text1"/>
          <w:sz w:val="18"/>
          <w:szCs w:val="18"/>
        </w:rPr>
        <w:t>1982 (Cth).</w:t>
      </w:r>
    </w:p>
  </w:footnote>
  <w:footnote w:id="47">
    <w:p w14:paraId="1931CA57" w14:textId="1AEC57BD" w:rsidR="00252A51" w:rsidRPr="003B6E6B" w:rsidRDefault="00252A51" w:rsidP="00975542">
      <w:pPr>
        <w:pStyle w:val="Notedebasdepage"/>
        <w:jc w:val="both"/>
        <w:rPr>
          <w:rFonts w:ascii="Garamond" w:hAnsi="Garamond"/>
          <w:color w:val="000000" w:themeColor="text1"/>
          <w:sz w:val="18"/>
          <w:szCs w:val="18"/>
        </w:rPr>
      </w:pPr>
      <w:r w:rsidRPr="003B6E6B">
        <w:rPr>
          <w:rFonts w:ascii="Garamond" w:hAnsi="Garamond"/>
          <w:color w:val="000000" w:themeColor="text1"/>
          <w:sz w:val="18"/>
          <w:szCs w:val="18"/>
          <w:vertAlign w:val="superscript"/>
        </w:rPr>
        <w:footnoteRef/>
      </w:r>
      <w:r w:rsidRPr="003B6E6B">
        <w:rPr>
          <w:rFonts w:ascii="Garamond" w:hAnsi="Garamond"/>
          <w:color w:val="000000" w:themeColor="text1"/>
          <w:sz w:val="18"/>
          <w:szCs w:val="18"/>
        </w:rPr>
        <w:t xml:space="preserve"> Australia. Commonwealth Attorney-General, </w:t>
      </w:r>
      <w:r w:rsidRPr="00215A20">
        <w:rPr>
          <w:rFonts w:ascii="Garamond" w:hAnsi="Garamond"/>
          <w:i/>
          <w:color w:val="000000" w:themeColor="text1"/>
          <w:sz w:val="18"/>
          <w:szCs w:val="18"/>
        </w:rPr>
        <w:t>Freedom of Information Act</w:t>
      </w:r>
      <w:r w:rsidR="00410194">
        <w:rPr>
          <w:rFonts w:ascii="Garamond" w:hAnsi="Garamond"/>
          <w:i/>
          <w:color w:val="000000" w:themeColor="text1"/>
          <w:sz w:val="18"/>
          <w:szCs w:val="18"/>
        </w:rPr>
        <w:t> </w:t>
      </w:r>
      <w:r w:rsidRPr="00215A20">
        <w:rPr>
          <w:rFonts w:ascii="Garamond" w:hAnsi="Garamond"/>
          <w:i/>
          <w:color w:val="000000" w:themeColor="text1"/>
          <w:sz w:val="18"/>
          <w:szCs w:val="18"/>
        </w:rPr>
        <w:t>1982:</w:t>
      </w:r>
      <w:r w:rsidRPr="003B6E6B">
        <w:rPr>
          <w:rFonts w:ascii="Garamond" w:hAnsi="Garamond"/>
          <w:color w:val="000000" w:themeColor="text1"/>
          <w:sz w:val="18"/>
          <w:szCs w:val="18"/>
        </w:rPr>
        <w:t xml:space="preserve"> </w:t>
      </w:r>
      <w:r w:rsidRPr="00215A20">
        <w:rPr>
          <w:rFonts w:ascii="Garamond" w:hAnsi="Garamond"/>
          <w:i/>
          <w:color w:val="000000" w:themeColor="text1"/>
          <w:sz w:val="18"/>
          <w:szCs w:val="18"/>
        </w:rPr>
        <w:t>Annual Report for the Period December 1982–June 1983</w:t>
      </w:r>
      <w:r w:rsidR="00215A20">
        <w:rPr>
          <w:rFonts w:ascii="Garamond" w:hAnsi="Garamond"/>
          <w:i/>
          <w:color w:val="000000" w:themeColor="text1"/>
          <w:sz w:val="18"/>
          <w:szCs w:val="18"/>
        </w:rPr>
        <w:t>,</w:t>
      </w:r>
      <w:r w:rsidRPr="003B6E6B">
        <w:rPr>
          <w:rFonts w:ascii="Garamond" w:hAnsi="Garamond"/>
          <w:color w:val="000000" w:themeColor="text1"/>
          <w:sz w:val="18"/>
          <w:szCs w:val="18"/>
        </w:rPr>
        <w:t xml:space="preserve"> </w:t>
      </w:r>
      <w:r w:rsidR="00215A20">
        <w:rPr>
          <w:rFonts w:ascii="Garamond" w:hAnsi="Garamond"/>
          <w:color w:val="000000" w:themeColor="text1"/>
          <w:sz w:val="18"/>
          <w:szCs w:val="18"/>
        </w:rPr>
        <w:t>XI</w:t>
      </w:r>
      <w:r w:rsidRPr="003B6E6B">
        <w:rPr>
          <w:rFonts w:ascii="Garamond" w:hAnsi="Garamond"/>
          <w:color w:val="000000" w:themeColor="text1"/>
          <w:sz w:val="18"/>
          <w:szCs w:val="18"/>
        </w:rPr>
        <w:t xml:space="preserve"> (Parliamentary Paper No</w:t>
      </w:r>
      <w:r w:rsidR="00215A20">
        <w:rPr>
          <w:rFonts w:ascii="Garamond" w:hAnsi="Garamond"/>
          <w:color w:val="000000" w:themeColor="text1"/>
          <w:sz w:val="18"/>
          <w:szCs w:val="18"/>
        </w:rPr>
        <w:t>.</w:t>
      </w:r>
      <w:r w:rsidR="00410194">
        <w:rPr>
          <w:rFonts w:ascii="Garamond" w:hAnsi="Garamond"/>
          <w:color w:val="000000" w:themeColor="text1"/>
          <w:sz w:val="18"/>
          <w:szCs w:val="18"/>
        </w:rPr>
        <w:t> </w:t>
      </w:r>
      <w:r w:rsidRPr="003B6E6B">
        <w:rPr>
          <w:rFonts w:ascii="Garamond" w:hAnsi="Garamond"/>
          <w:color w:val="000000" w:themeColor="text1"/>
          <w:sz w:val="18"/>
          <w:szCs w:val="18"/>
        </w:rPr>
        <w:t>328) (1983).</w:t>
      </w:r>
    </w:p>
  </w:footnote>
  <w:footnote w:id="48">
    <w:p w14:paraId="262C2561" w14:textId="77777777"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w:t>
      </w:r>
      <w:r w:rsidRPr="003B6E6B">
        <w:rPr>
          <w:rFonts w:ascii="Garamond" w:hAnsi="Garamond"/>
          <w:i/>
          <w:color w:val="000000" w:themeColor="text1"/>
          <w:sz w:val="18"/>
          <w:szCs w:val="18"/>
        </w:rPr>
        <w:t>Ibid</w:t>
      </w:r>
      <w:r w:rsidRPr="003B6E6B">
        <w:rPr>
          <w:rFonts w:ascii="Garamond" w:hAnsi="Garamond"/>
          <w:color w:val="000000" w:themeColor="text1"/>
          <w:sz w:val="18"/>
          <w:szCs w:val="18"/>
        </w:rPr>
        <w:t xml:space="preserve"> (emphasis added).</w:t>
      </w:r>
    </w:p>
  </w:footnote>
  <w:footnote w:id="49">
    <w:p w14:paraId="06A2AF71" w14:textId="77777777"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w:t>
      </w:r>
      <w:r w:rsidRPr="003B6E6B">
        <w:rPr>
          <w:rFonts w:ascii="Garamond" w:hAnsi="Garamond"/>
          <w:i/>
          <w:color w:val="000000" w:themeColor="text1"/>
          <w:sz w:val="18"/>
          <w:szCs w:val="18"/>
        </w:rPr>
        <w:t>Ibid</w:t>
      </w:r>
      <w:r w:rsidRPr="003B6E6B">
        <w:rPr>
          <w:rFonts w:ascii="Garamond" w:hAnsi="Garamond"/>
          <w:color w:val="000000" w:themeColor="text1"/>
          <w:sz w:val="18"/>
          <w:szCs w:val="18"/>
        </w:rPr>
        <w:t xml:space="preserve"> 2-3 (emphasis added).</w:t>
      </w:r>
    </w:p>
  </w:footnote>
  <w:footnote w:id="50">
    <w:p w14:paraId="2A31342E" w14:textId="77777777"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w:t>
      </w:r>
      <w:r w:rsidRPr="003B6E6B">
        <w:rPr>
          <w:rFonts w:ascii="Garamond" w:hAnsi="Garamond"/>
          <w:i/>
          <w:color w:val="000000" w:themeColor="text1"/>
          <w:sz w:val="18"/>
          <w:szCs w:val="18"/>
        </w:rPr>
        <w:t>Ibid</w:t>
      </w:r>
      <w:r w:rsidRPr="003B6E6B">
        <w:rPr>
          <w:rFonts w:ascii="Garamond" w:hAnsi="Garamond"/>
          <w:color w:val="000000" w:themeColor="text1"/>
          <w:sz w:val="18"/>
          <w:szCs w:val="18"/>
        </w:rPr>
        <w:t xml:space="preserve"> 4.</w:t>
      </w:r>
    </w:p>
  </w:footnote>
  <w:footnote w:id="51">
    <w:p w14:paraId="3CAB900B" w14:textId="77777777"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w:t>
      </w:r>
      <w:r w:rsidRPr="003B6E6B">
        <w:rPr>
          <w:rFonts w:ascii="Garamond" w:hAnsi="Garamond"/>
          <w:i/>
          <w:color w:val="000000" w:themeColor="text1"/>
          <w:sz w:val="18"/>
          <w:szCs w:val="18"/>
        </w:rPr>
        <w:t>Ibid</w:t>
      </w:r>
      <w:r w:rsidRPr="003B6E6B">
        <w:rPr>
          <w:rFonts w:ascii="Garamond" w:hAnsi="Garamond"/>
          <w:color w:val="000000" w:themeColor="text1"/>
          <w:sz w:val="18"/>
          <w:szCs w:val="18"/>
        </w:rPr>
        <w:t xml:space="preserve"> 5.</w:t>
      </w:r>
    </w:p>
  </w:footnote>
  <w:footnote w:id="52">
    <w:p w14:paraId="1CC1CCD7" w14:textId="6F69EADD"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Australia. Senate Standing Committee on Legal and Constitutional Affairs, </w:t>
      </w:r>
      <w:r w:rsidRPr="00215A20">
        <w:rPr>
          <w:rFonts w:ascii="Garamond" w:hAnsi="Garamond"/>
          <w:i/>
          <w:color w:val="000000" w:themeColor="text1"/>
          <w:sz w:val="18"/>
          <w:szCs w:val="18"/>
        </w:rPr>
        <w:t>Freedom of Information Act</w:t>
      </w:r>
      <w:r w:rsidR="00410194">
        <w:rPr>
          <w:rFonts w:ascii="Garamond" w:hAnsi="Garamond"/>
          <w:i/>
          <w:color w:val="000000" w:themeColor="text1"/>
          <w:sz w:val="18"/>
          <w:szCs w:val="18"/>
        </w:rPr>
        <w:t> </w:t>
      </w:r>
      <w:r w:rsidRPr="00215A20">
        <w:rPr>
          <w:rFonts w:ascii="Garamond" w:hAnsi="Garamond"/>
          <w:i/>
          <w:color w:val="000000" w:themeColor="text1"/>
          <w:sz w:val="18"/>
          <w:szCs w:val="18"/>
        </w:rPr>
        <w:t>1982</w:t>
      </w:r>
      <w:r w:rsidRPr="003B6E6B">
        <w:rPr>
          <w:rFonts w:ascii="Garamond" w:hAnsi="Garamond"/>
          <w:color w:val="000000" w:themeColor="text1"/>
          <w:sz w:val="18"/>
          <w:szCs w:val="18"/>
        </w:rPr>
        <w:t xml:space="preserve">; </w:t>
      </w:r>
      <w:r w:rsidRPr="00215A20">
        <w:rPr>
          <w:rFonts w:ascii="Garamond" w:hAnsi="Garamond"/>
          <w:i/>
          <w:color w:val="000000" w:themeColor="text1"/>
          <w:sz w:val="18"/>
          <w:szCs w:val="18"/>
        </w:rPr>
        <w:t>Report on the operation and administration of the freedom of information legislation</w:t>
      </w:r>
      <w:r w:rsidRPr="003B6E6B">
        <w:rPr>
          <w:rFonts w:ascii="Garamond" w:hAnsi="Garamond"/>
          <w:color w:val="000000" w:themeColor="text1"/>
          <w:sz w:val="18"/>
          <w:szCs w:val="18"/>
        </w:rPr>
        <w:t xml:space="preserve"> (1987).</w:t>
      </w:r>
      <w:r w:rsidRPr="003B6E6B">
        <w:rPr>
          <w:rFonts w:ascii="Garamond" w:hAnsi="Garamond"/>
          <w:color w:val="000000" w:themeColor="text1"/>
          <w:sz w:val="18"/>
          <w:szCs w:val="18"/>
        </w:rPr>
        <w:t>‬</w:t>
      </w:r>
    </w:p>
  </w:footnote>
  <w:footnote w:id="53">
    <w:p w14:paraId="51DC1B96" w14:textId="2F813446"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Freedom of Information Act</w:t>
      </w:r>
      <w:r w:rsidR="00410194">
        <w:rPr>
          <w:rFonts w:ascii="Garamond" w:hAnsi="Garamond"/>
          <w:color w:val="000000" w:themeColor="text1"/>
          <w:sz w:val="18"/>
          <w:szCs w:val="18"/>
        </w:rPr>
        <w:t> </w:t>
      </w:r>
      <w:r w:rsidRPr="003B6E6B">
        <w:rPr>
          <w:rFonts w:ascii="Garamond" w:hAnsi="Garamond"/>
          <w:color w:val="000000" w:themeColor="text1"/>
          <w:sz w:val="18"/>
          <w:szCs w:val="18"/>
        </w:rPr>
        <w:t>1982 (Cth).</w:t>
      </w:r>
    </w:p>
  </w:footnote>
  <w:footnote w:id="54">
    <w:p w14:paraId="041B2E46" w14:textId="15CD964C"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Australia. Senate Standing Committee on Legal and Constitutional Affairs, </w:t>
      </w:r>
      <w:r w:rsidRPr="00215A20">
        <w:rPr>
          <w:rFonts w:ascii="Garamond" w:hAnsi="Garamond"/>
          <w:i/>
          <w:color w:val="000000" w:themeColor="text1"/>
          <w:sz w:val="18"/>
          <w:szCs w:val="18"/>
        </w:rPr>
        <w:t>Freedom of Information Act</w:t>
      </w:r>
      <w:r w:rsidR="00410194">
        <w:rPr>
          <w:rFonts w:ascii="Garamond" w:hAnsi="Garamond"/>
          <w:i/>
          <w:color w:val="000000" w:themeColor="text1"/>
          <w:sz w:val="18"/>
          <w:szCs w:val="18"/>
        </w:rPr>
        <w:t> </w:t>
      </w:r>
      <w:r w:rsidRPr="00215A20">
        <w:rPr>
          <w:rFonts w:ascii="Garamond" w:hAnsi="Garamond"/>
          <w:i/>
          <w:color w:val="000000" w:themeColor="text1"/>
          <w:sz w:val="18"/>
          <w:szCs w:val="18"/>
        </w:rPr>
        <w:t>1982; Report on the operation and administration of the freedom of information legislation</w:t>
      </w:r>
      <w:r w:rsidRPr="003B6E6B">
        <w:rPr>
          <w:rFonts w:ascii="Garamond" w:hAnsi="Garamond"/>
          <w:color w:val="000000" w:themeColor="text1"/>
          <w:sz w:val="18"/>
          <w:szCs w:val="18"/>
        </w:rPr>
        <w:t xml:space="preserve"> [2.5] (1987) </w:t>
      </w:r>
      <w:r w:rsidRPr="003B6E6B">
        <w:rPr>
          <w:rFonts w:ascii="Garamond" w:hAnsi="Garamond"/>
          <w:color w:val="000000" w:themeColor="text1"/>
          <w:sz w:val="18"/>
          <w:szCs w:val="18"/>
          <w:lang w:val="en-AU"/>
        </w:rPr>
        <w:t>(emphasis added)</w:t>
      </w:r>
      <w:r w:rsidRPr="003B6E6B">
        <w:rPr>
          <w:rFonts w:ascii="Garamond" w:hAnsi="Garamond"/>
          <w:color w:val="000000" w:themeColor="text1"/>
          <w:sz w:val="18"/>
          <w:szCs w:val="18"/>
        </w:rPr>
        <w:t>.</w:t>
      </w:r>
    </w:p>
  </w:footnote>
  <w:footnote w:id="55">
    <w:p w14:paraId="21CAF2AC" w14:textId="1E28EB21"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w:t>
      </w:r>
      <w:r w:rsidRPr="00215A20">
        <w:rPr>
          <w:rFonts w:ascii="Garamond" w:hAnsi="Garamond"/>
          <w:color w:val="000000" w:themeColor="text1"/>
          <w:sz w:val="18"/>
          <w:szCs w:val="18"/>
        </w:rPr>
        <w:t>Australian Law Reform Commission and Administrative Review Council,</w:t>
      </w:r>
      <w:r w:rsidRPr="00215A20">
        <w:rPr>
          <w:rFonts w:ascii="Garamond" w:hAnsi="Garamond"/>
          <w:i/>
          <w:color w:val="000000" w:themeColor="text1"/>
          <w:sz w:val="18"/>
          <w:szCs w:val="18"/>
        </w:rPr>
        <w:t xml:space="preserve"> Open Go</w:t>
      </w:r>
      <w:r w:rsidRPr="007D7373">
        <w:rPr>
          <w:rFonts w:ascii="Garamond" w:hAnsi="Garamond"/>
          <w:i/>
          <w:color w:val="000000" w:themeColor="text1"/>
          <w:sz w:val="18"/>
          <w:szCs w:val="18"/>
        </w:rPr>
        <w:t>vernment: A Review of the Federal Freedom of Information Act</w:t>
      </w:r>
      <w:r w:rsidR="00410194">
        <w:rPr>
          <w:rFonts w:ascii="Garamond" w:hAnsi="Garamond"/>
          <w:i/>
          <w:color w:val="000000" w:themeColor="text1"/>
          <w:sz w:val="18"/>
          <w:szCs w:val="18"/>
        </w:rPr>
        <w:t> </w:t>
      </w:r>
      <w:r w:rsidRPr="007D7373">
        <w:rPr>
          <w:rFonts w:ascii="Garamond" w:hAnsi="Garamond"/>
          <w:i/>
          <w:color w:val="000000" w:themeColor="text1"/>
          <w:sz w:val="18"/>
          <w:szCs w:val="18"/>
        </w:rPr>
        <w:t>1982</w:t>
      </w:r>
      <w:r w:rsidRPr="003B6E6B">
        <w:rPr>
          <w:rFonts w:ascii="Garamond" w:hAnsi="Garamond"/>
          <w:color w:val="000000" w:themeColor="text1"/>
          <w:sz w:val="18"/>
          <w:szCs w:val="18"/>
        </w:rPr>
        <w:t>, Report No</w:t>
      </w:r>
      <w:r w:rsidR="007D7373">
        <w:rPr>
          <w:rFonts w:ascii="Garamond" w:hAnsi="Garamond"/>
          <w:color w:val="000000" w:themeColor="text1"/>
          <w:sz w:val="18"/>
          <w:szCs w:val="18"/>
        </w:rPr>
        <w:t>.</w:t>
      </w:r>
      <w:r w:rsidR="00410194">
        <w:rPr>
          <w:rFonts w:ascii="Garamond" w:hAnsi="Garamond"/>
          <w:color w:val="000000" w:themeColor="text1"/>
          <w:sz w:val="18"/>
          <w:szCs w:val="18"/>
        </w:rPr>
        <w:t> </w:t>
      </w:r>
      <w:r w:rsidRPr="003B6E6B">
        <w:rPr>
          <w:rFonts w:ascii="Garamond" w:hAnsi="Garamond"/>
          <w:color w:val="000000" w:themeColor="text1"/>
          <w:sz w:val="18"/>
          <w:szCs w:val="18"/>
        </w:rPr>
        <w:t>77 (ALRC) and Report No</w:t>
      </w:r>
      <w:r w:rsidR="007D7373">
        <w:rPr>
          <w:rFonts w:ascii="Garamond" w:hAnsi="Garamond"/>
          <w:color w:val="000000" w:themeColor="text1"/>
          <w:sz w:val="18"/>
          <w:szCs w:val="18"/>
        </w:rPr>
        <w:t>.</w:t>
      </w:r>
      <w:r w:rsidR="00410194">
        <w:rPr>
          <w:rFonts w:ascii="Garamond" w:hAnsi="Garamond"/>
          <w:color w:val="000000" w:themeColor="text1"/>
          <w:sz w:val="18"/>
          <w:szCs w:val="18"/>
        </w:rPr>
        <w:t> </w:t>
      </w:r>
      <w:r w:rsidRPr="003B6E6B">
        <w:rPr>
          <w:rFonts w:ascii="Garamond" w:hAnsi="Garamond"/>
          <w:color w:val="000000" w:themeColor="text1"/>
          <w:sz w:val="18"/>
          <w:szCs w:val="18"/>
        </w:rPr>
        <w:t>40 (ARC) [4.4] (1995).</w:t>
      </w:r>
    </w:p>
  </w:footnote>
  <w:footnote w:id="56">
    <w:p w14:paraId="01CC6FA7" w14:textId="77777777"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w:t>
      </w:r>
      <w:r w:rsidRPr="003B6E6B">
        <w:rPr>
          <w:rFonts w:ascii="Garamond" w:hAnsi="Garamond"/>
          <w:i/>
          <w:color w:val="000000" w:themeColor="text1"/>
          <w:sz w:val="18"/>
          <w:szCs w:val="18"/>
        </w:rPr>
        <w:t>Ibid</w:t>
      </w:r>
      <w:r w:rsidRPr="003B6E6B">
        <w:rPr>
          <w:rFonts w:ascii="Garamond" w:hAnsi="Garamond"/>
          <w:color w:val="000000" w:themeColor="text1"/>
          <w:sz w:val="18"/>
          <w:szCs w:val="18"/>
        </w:rPr>
        <w:t xml:space="preserve"> [4.6].</w:t>
      </w:r>
    </w:p>
  </w:footnote>
  <w:footnote w:id="57">
    <w:p w14:paraId="1AE411DE" w14:textId="2E651DEF"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w:t>
      </w:r>
      <w:r w:rsidRPr="003B6E6B">
        <w:rPr>
          <w:rFonts w:ascii="Garamond" w:hAnsi="Garamond"/>
          <w:i/>
          <w:color w:val="000000" w:themeColor="text1"/>
          <w:sz w:val="18"/>
          <w:szCs w:val="18"/>
        </w:rPr>
        <w:t>Ibid</w:t>
      </w:r>
      <w:r w:rsidRPr="003B6E6B">
        <w:rPr>
          <w:rFonts w:ascii="Garamond" w:hAnsi="Garamond"/>
          <w:color w:val="000000" w:themeColor="text1"/>
          <w:sz w:val="18"/>
          <w:szCs w:val="18"/>
        </w:rPr>
        <w:t xml:space="preserve"> [Recommendation</w:t>
      </w:r>
      <w:r w:rsidR="00410194">
        <w:rPr>
          <w:rFonts w:ascii="Garamond" w:hAnsi="Garamond"/>
          <w:color w:val="000000" w:themeColor="text1"/>
          <w:sz w:val="18"/>
          <w:szCs w:val="18"/>
        </w:rPr>
        <w:t> </w:t>
      </w:r>
      <w:r w:rsidRPr="003B6E6B">
        <w:rPr>
          <w:rFonts w:ascii="Garamond" w:hAnsi="Garamond"/>
          <w:color w:val="000000" w:themeColor="text1"/>
          <w:sz w:val="18"/>
          <w:szCs w:val="18"/>
        </w:rPr>
        <w:t>1].</w:t>
      </w:r>
    </w:p>
  </w:footnote>
  <w:footnote w:id="58">
    <w:p w14:paraId="3A8E2DF8" w14:textId="77777777"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w:t>
      </w:r>
      <w:r w:rsidRPr="007D7373">
        <w:rPr>
          <w:rFonts w:ascii="Garamond" w:hAnsi="Garamond"/>
          <w:i/>
          <w:color w:val="000000" w:themeColor="text1"/>
          <w:sz w:val="18"/>
          <w:szCs w:val="18"/>
        </w:rPr>
        <w:t>Ibid</w:t>
      </w:r>
      <w:r w:rsidRPr="003B6E6B">
        <w:rPr>
          <w:rFonts w:ascii="Garamond" w:hAnsi="Garamond"/>
          <w:color w:val="000000" w:themeColor="text1"/>
          <w:sz w:val="18"/>
          <w:szCs w:val="18"/>
        </w:rPr>
        <w:t>.</w:t>
      </w:r>
    </w:p>
  </w:footnote>
  <w:footnote w:id="59">
    <w:p w14:paraId="7B865609" w14:textId="3E3CF114"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Freedom of Information Amendment (Reform) Act</w:t>
      </w:r>
      <w:r w:rsidR="00410194">
        <w:rPr>
          <w:rFonts w:ascii="Garamond" w:hAnsi="Garamond"/>
          <w:color w:val="000000" w:themeColor="text1"/>
          <w:sz w:val="18"/>
          <w:szCs w:val="18"/>
        </w:rPr>
        <w:t> </w:t>
      </w:r>
      <w:r w:rsidRPr="003B6E6B">
        <w:rPr>
          <w:rFonts w:ascii="Garamond" w:hAnsi="Garamond"/>
          <w:color w:val="000000" w:themeColor="text1"/>
          <w:sz w:val="18"/>
          <w:szCs w:val="18"/>
        </w:rPr>
        <w:t>2010 (Cth).</w:t>
      </w:r>
    </w:p>
  </w:footnote>
  <w:footnote w:id="60">
    <w:p w14:paraId="6B9F9A64" w14:textId="1452732F"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w:t>
      </w:r>
      <w:r w:rsidRPr="003B6E6B">
        <w:rPr>
          <w:rFonts w:ascii="Garamond" w:eastAsiaTheme="minorHAnsi" w:hAnsi="Garamond"/>
          <w:color w:val="000000" w:themeColor="text1"/>
          <w:sz w:val="18"/>
          <w:szCs w:val="18"/>
        </w:rPr>
        <w:t xml:space="preserve">The object clause originally expressed the right of access as being </w:t>
      </w:r>
      <w:r w:rsidR="00410194">
        <w:rPr>
          <w:rFonts w:ascii="Garamond" w:eastAsiaTheme="minorHAnsi" w:hAnsi="Garamond"/>
          <w:color w:val="000000" w:themeColor="text1"/>
          <w:sz w:val="18"/>
          <w:szCs w:val="18"/>
        </w:rPr>
        <w:t>‘</w:t>
      </w:r>
      <w:r w:rsidRPr="003B6E6B">
        <w:rPr>
          <w:rFonts w:ascii="Garamond" w:hAnsi="Garamond"/>
          <w:color w:val="000000" w:themeColor="text1"/>
          <w:sz w:val="18"/>
          <w:szCs w:val="18"/>
        </w:rPr>
        <w:t>limited only by exceptions and exemptions necessary for the protection of essential public interests and the private and business affairs of persons in respect of whom information is collected and held by departments and public authorities</w:t>
      </w:r>
      <w:r w:rsidR="00410194">
        <w:rPr>
          <w:rFonts w:ascii="Garamond" w:hAnsi="Garamond"/>
          <w:color w:val="000000" w:themeColor="text1"/>
          <w:sz w:val="18"/>
          <w:szCs w:val="18"/>
        </w:rPr>
        <w:t>’</w:t>
      </w:r>
      <w:r w:rsidRPr="003B6E6B">
        <w:rPr>
          <w:rFonts w:ascii="Garamond" w:hAnsi="Garamond"/>
          <w:color w:val="000000" w:themeColor="text1"/>
          <w:sz w:val="18"/>
          <w:szCs w:val="18"/>
        </w:rPr>
        <w:t xml:space="preserve">: </w:t>
      </w:r>
      <w:r w:rsidRPr="003B6E6B">
        <w:rPr>
          <w:rFonts w:ascii="Garamond" w:hAnsi="Garamond"/>
          <w:i/>
          <w:color w:val="000000" w:themeColor="text1"/>
          <w:sz w:val="18"/>
          <w:szCs w:val="18"/>
        </w:rPr>
        <w:t>Freedom of Information Act</w:t>
      </w:r>
      <w:r w:rsidR="00410194">
        <w:rPr>
          <w:rFonts w:ascii="Garamond" w:hAnsi="Garamond"/>
          <w:i/>
          <w:color w:val="000000" w:themeColor="text1"/>
          <w:sz w:val="18"/>
          <w:szCs w:val="18"/>
        </w:rPr>
        <w:t> </w:t>
      </w:r>
      <w:r w:rsidRPr="003B6E6B">
        <w:rPr>
          <w:rFonts w:ascii="Garamond" w:hAnsi="Garamond"/>
          <w:i/>
          <w:color w:val="000000" w:themeColor="text1"/>
          <w:sz w:val="18"/>
          <w:szCs w:val="18"/>
        </w:rPr>
        <w:t>1982</w:t>
      </w:r>
      <w:r w:rsidRPr="003B6E6B">
        <w:rPr>
          <w:rFonts w:ascii="Garamond" w:hAnsi="Garamond"/>
          <w:color w:val="000000" w:themeColor="text1"/>
          <w:sz w:val="18"/>
          <w:szCs w:val="18"/>
        </w:rPr>
        <w:t xml:space="preserve"> (Cth) </w:t>
      </w:r>
      <w:r w:rsidRPr="003B6E6B">
        <w:rPr>
          <w:rFonts w:ascii="Garamond" w:hAnsi="Garamond"/>
          <w:color w:val="000000" w:themeColor="text1"/>
          <w:sz w:val="18"/>
          <w:szCs w:val="18"/>
          <w:lang w:val="en"/>
        </w:rPr>
        <w:t>§</w:t>
      </w:r>
      <w:r w:rsidR="00410194">
        <w:rPr>
          <w:rFonts w:ascii="Garamond" w:hAnsi="Garamond"/>
          <w:color w:val="000000" w:themeColor="text1"/>
          <w:sz w:val="18"/>
          <w:szCs w:val="18"/>
        </w:rPr>
        <w:t> </w:t>
      </w:r>
      <w:r w:rsidRPr="003B6E6B">
        <w:rPr>
          <w:rFonts w:ascii="Garamond" w:hAnsi="Garamond"/>
          <w:color w:val="000000" w:themeColor="text1"/>
          <w:sz w:val="18"/>
          <w:szCs w:val="18"/>
        </w:rPr>
        <w:t>3 (now superseded).</w:t>
      </w:r>
    </w:p>
  </w:footnote>
  <w:footnote w:id="61">
    <w:p w14:paraId="64F2E9BC" w14:textId="5A64EAD2"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w:t>
      </w:r>
      <w:r w:rsidRPr="003B6E6B">
        <w:rPr>
          <w:rFonts w:ascii="Garamond" w:hAnsi="Garamond"/>
          <w:i/>
          <w:color w:val="000000" w:themeColor="text1"/>
          <w:sz w:val="18"/>
          <w:szCs w:val="18"/>
        </w:rPr>
        <w:t>Freedom of Information Act</w:t>
      </w:r>
      <w:r w:rsidR="00410194">
        <w:rPr>
          <w:rFonts w:ascii="Garamond" w:hAnsi="Garamond"/>
          <w:i/>
          <w:color w:val="000000" w:themeColor="text1"/>
          <w:sz w:val="18"/>
          <w:szCs w:val="18"/>
        </w:rPr>
        <w:t> </w:t>
      </w:r>
      <w:r w:rsidRPr="003B6E6B">
        <w:rPr>
          <w:rFonts w:ascii="Garamond" w:hAnsi="Garamond"/>
          <w:i/>
          <w:color w:val="000000" w:themeColor="text1"/>
          <w:sz w:val="18"/>
          <w:szCs w:val="18"/>
        </w:rPr>
        <w:t>1982</w:t>
      </w:r>
      <w:r w:rsidRPr="003B6E6B">
        <w:rPr>
          <w:rFonts w:ascii="Garamond" w:hAnsi="Garamond"/>
          <w:color w:val="000000" w:themeColor="text1"/>
          <w:sz w:val="18"/>
          <w:szCs w:val="18"/>
        </w:rPr>
        <w:t xml:space="preserve"> (Cth) (now the current object clause).</w:t>
      </w:r>
    </w:p>
  </w:footnote>
  <w:footnote w:id="62">
    <w:p w14:paraId="55FDB16E" w14:textId="227EB05B"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Australian Law Reform Commission and Administrative Review Council,</w:t>
      </w:r>
      <w:r w:rsidRPr="003B6E6B">
        <w:rPr>
          <w:rFonts w:ascii="Garamond" w:hAnsi="Garamond"/>
          <w:i/>
          <w:color w:val="000000" w:themeColor="text1"/>
          <w:sz w:val="18"/>
          <w:szCs w:val="18"/>
        </w:rPr>
        <w:t xml:space="preserve"> </w:t>
      </w:r>
      <w:r w:rsidRPr="007D7373">
        <w:rPr>
          <w:rFonts w:ascii="Garamond" w:hAnsi="Garamond"/>
          <w:i/>
          <w:color w:val="000000" w:themeColor="text1"/>
          <w:sz w:val="18"/>
          <w:szCs w:val="18"/>
        </w:rPr>
        <w:t>Open Government: A Review of the Federal Freedom of Information Act</w:t>
      </w:r>
      <w:r w:rsidR="00410194">
        <w:rPr>
          <w:rFonts w:ascii="Garamond" w:hAnsi="Garamond"/>
          <w:i/>
          <w:color w:val="000000" w:themeColor="text1"/>
          <w:sz w:val="18"/>
          <w:szCs w:val="18"/>
        </w:rPr>
        <w:t> </w:t>
      </w:r>
      <w:r w:rsidRPr="007D7373">
        <w:rPr>
          <w:rFonts w:ascii="Garamond" w:hAnsi="Garamond"/>
          <w:i/>
          <w:color w:val="000000" w:themeColor="text1"/>
          <w:sz w:val="18"/>
          <w:szCs w:val="18"/>
        </w:rPr>
        <w:t>1982</w:t>
      </w:r>
      <w:r w:rsidRPr="003B6E6B">
        <w:rPr>
          <w:rFonts w:ascii="Garamond" w:hAnsi="Garamond"/>
          <w:color w:val="000000" w:themeColor="text1"/>
          <w:sz w:val="18"/>
          <w:szCs w:val="18"/>
        </w:rPr>
        <w:t>, Report No</w:t>
      </w:r>
      <w:r w:rsidR="007D7373">
        <w:rPr>
          <w:rFonts w:ascii="Garamond" w:hAnsi="Garamond"/>
          <w:color w:val="000000" w:themeColor="text1"/>
          <w:sz w:val="18"/>
          <w:szCs w:val="18"/>
        </w:rPr>
        <w:t>.</w:t>
      </w:r>
      <w:r w:rsidR="00410194">
        <w:rPr>
          <w:rFonts w:ascii="Garamond" w:hAnsi="Garamond"/>
          <w:color w:val="000000" w:themeColor="text1"/>
          <w:sz w:val="18"/>
          <w:szCs w:val="18"/>
        </w:rPr>
        <w:t> </w:t>
      </w:r>
      <w:r w:rsidRPr="003B6E6B">
        <w:rPr>
          <w:rFonts w:ascii="Garamond" w:hAnsi="Garamond"/>
          <w:color w:val="000000" w:themeColor="text1"/>
          <w:sz w:val="18"/>
          <w:szCs w:val="18"/>
        </w:rPr>
        <w:t>77 (ALRC) and Report No</w:t>
      </w:r>
      <w:r w:rsidR="00410194">
        <w:rPr>
          <w:rFonts w:ascii="Garamond" w:hAnsi="Garamond"/>
          <w:color w:val="000000" w:themeColor="text1"/>
          <w:sz w:val="18"/>
          <w:szCs w:val="18"/>
        </w:rPr>
        <w:t> </w:t>
      </w:r>
      <w:r w:rsidRPr="003B6E6B">
        <w:rPr>
          <w:rFonts w:ascii="Garamond" w:hAnsi="Garamond"/>
          <w:color w:val="000000" w:themeColor="text1"/>
          <w:sz w:val="18"/>
          <w:szCs w:val="18"/>
        </w:rPr>
        <w:t xml:space="preserve">40 (ARC) [4.6] (1995). </w:t>
      </w:r>
    </w:p>
  </w:footnote>
  <w:footnote w:id="63">
    <w:p w14:paraId="008CA487" w14:textId="06C7941F"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Carolyn Hendriks, </w:t>
      </w:r>
      <w:r w:rsidRPr="00215A20">
        <w:rPr>
          <w:rFonts w:ascii="Garamond" w:hAnsi="Garamond"/>
          <w:i/>
          <w:color w:val="000000" w:themeColor="text1"/>
          <w:sz w:val="18"/>
          <w:szCs w:val="18"/>
        </w:rPr>
        <w:t>Institutions of Deliberative Democratic Processes and Interest Groups: Roles Tensions and Incentives</w:t>
      </w:r>
      <w:r w:rsidRPr="003B6E6B">
        <w:rPr>
          <w:rFonts w:ascii="Garamond" w:hAnsi="Garamond"/>
          <w:color w:val="000000" w:themeColor="text1"/>
          <w:sz w:val="18"/>
          <w:szCs w:val="18"/>
        </w:rPr>
        <w:t xml:space="preserve">, 61 </w:t>
      </w:r>
      <w:r w:rsidRPr="00215A20">
        <w:rPr>
          <w:rFonts w:ascii="Garamond" w:hAnsi="Garamond"/>
          <w:smallCaps/>
          <w:color w:val="000000" w:themeColor="text1"/>
          <w:sz w:val="18"/>
          <w:szCs w:val="18"/>
        </w:rPr>
        <w:t>Australian Journal of Public Administration</w:t>
      </w:r>
      <w:r w:rsidR="00410194">
        <w:rPr>
          <w:rFonts w:ascii="Garamond" w:hAnsi="Garamond"/>
          <w:color w:val="000000" w:themeColor="text1"/>
          <w:sz w:val="18"/>
          <w:szCs w:val="18"/>
        </w:rPr>
        <w:t> </w:t>
      </w:r>
      <w:r w:rsidRPr="003B6E6B">
        <w:rPr>
          <w:rFonts w:ascii="Garamond" w:hAnsi="Garamond"/>
          <w:color w:val="000000" w:themeColor="text1"/>
          <w:sz w:val="18"/>
          <w:szCs w:val="18"/>
        </w:rPr>
        <w:t>64 (2002).</w:t>
      </w:r>
    </w:p>
  </w:footnote>
  <w:footnote w:id="64">
    <w:p w14:paraId="2E90812C" w14:textId="572DEDB8" w:rsidR="00252A51" w:rsidRPr="003B6E6B" w:rsidRDefault="00252A51" w:rsidP="00975542">
      <w:pPr>
        <w:pStyle w:val="Notedebasdepage"/>
        <w:jc w:val="both"/>
        <w:rPr>
          <w:rFonts w:ascii="Garamond" w:eastAsiaTheme="minorHAnsi"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Patrick Bishop and Glyn Davis, </w:t>
      </w:r>
      <w:r w:rsidRPr="003B6E6B">
        <w:rPr>
          <w:rFonts w:ascii="Garamond" w:hAnsi="Garamond"/>
          <w:i/>
          <w:color w:val="000000" w:themeColor="text1"/>
          <w:sz w:val="18"/>
          <w:szCs w:val="18"/>
        </w:rPr>
        <w:t>Mapping Public Participation in Policy Choices,</w:t>
      </w:r>
      <w:r w:rsidRPr="003B6E6B">
        <w:rPr>
          <w:rFonts w:ascii="Garamond" w:hAnsi="Garamond"/>
          <w:color w:val="000000" w:themeColor="text1"/>
          <w:sz w:val="18"/>
          <w:szCs w:val="18"/>
        </w:rPr>
        <w:t xml:space="preserve"> 61 </w:t>
      </w:r>
      <w:r w:rsidRPr="00215A20">
        <w:rPr>
          <w:rFonts w:ascii="Garamond" w:hAnsi="Garamond"/>
          <w:smallCaps/>
          <w:color w:val="000000" w:themeColor="text1"/>
          <w:sz w:val="18"/>
          <w:szCs w:val="18"/>
        </w:rPr>
        <w:t>Australian Journal of Public Administration</w:t>
      </w:r>
      <w:r w:rsidR="00410194">
        <w:rPr>
          <w:rFonts w:ascii="Garamond" w:hAnsi="Garamond"/>
          <w:color w:val="000000" w:themeColor="text1"/>
          <w:sz w:val="18"/>
          <w:szCs w:val="18"/>
        </w:rPr>
        <w:t> </w:t>
      </w:r>
      <w:r w:rsidRPr="003B6E6B">
        <w:rPr>
          <w:rFonts w:ascii="Garamond" w:hAnsi="Garamond"/>
          <w:color w:val="000000" w:themeColor="text1"/>
          <w:sz w:val="18"/>
          <w:szCs w:val="18"/>
        </w:rPr>
        <w:t xml:space="preserve">14, 20 (2002). Citing: </w:t>
      </w:r>
      <w:r w:rsidRPr="003B6E6B">
        <w:rPr>
          <w:rFonts w:ascii="Garamond" w:hAnsi="Garamond"/>
          <w:smallCaps/>
          <w:color w:val="000000" w:themeColor="text1"/>
          <w:sz w:val="18"/>
          <w:szCs w:val="18"/>
        </w:rPr>
        <w:t xml:space="preserve">D </w:t>
      </w:r>
      <w:r w:rsidRPr="003B6E6B">
        <w:rPr>
          <w:rFonts w:ascii="Garamond" w:eastAsiaTheme="minorHAnsi" w:hAnsi="Garamond"/>
          <w:smallCaps/>
          <w:color w:val="000000" w:themeColor="text1"/>
          <w:sz w:val="18"/>
          <w:szCs w:val="18"/>
        </w:rPr>
        <w:t>Shand, and M Arnberg,</w:t>
      </w:r>
      <w:r w:rsidRPr="003B6E6B">
        <w:rPr>
          <w:rFonts w:ascii="Garamond" w:eastAsiaTheme="minorHAnsi" w:hAnsi="Garamond"/>
          <w:color w:val="000000" w:themeColor="text1"/>
          <w:sz w:val="18"/>
          <w:szCs w:val="18"/>
        </w:rPr>
        <w:t xml:space="preserve"> </w:t>
      </w:r>
      <w:r w:rsidRPr="003B6E6B">
        <w:rPr>
          <w:rFonts w:ascii="Garamond" w:eastAsiaTheme="minorHAnsi" w:hAnsi="Garamond"/>
          <w:smallCaps/>
          <w:color w:val="000000" w:themeColor="text1"/>
          <w:sz w:val="18"/>
          <w:szCs w:val="18"/>
        </w:rPr>
        <w:t>Background paper in OECD Responsible Government</w:t>
      </w:r>
      <w:r w:rsidRPr="003B6E6B">
        <w:rPr>
          <w:rFonts w:ascii="Garamond" w:eastAsiaTheme="minorHAnsi" w:hAnsi="Garamond"/>
          <w:color w:val="000000" w:themeColor="text1"/>
          <w:sz w:val="18"/>
          <w:szCs w:val="18"/>
        </w:rPr>
        <w:t>, 15-38 (PUMA Public Management Service, OECD, Paris</w:t>
      </w:r>
      <w:r w:rsidR="00410194">
        <w:rPr>
          <w:rFonts w:ascii="Garamond" w:eastAsiaTheme="minorHAnsi" w:hAnsi="Garamond"/>
          <w:color w:val="000000" w:themeColor="text1"/>
          <w:sz w:val="18"/>
          <w:szCs w:val="18"/>
        </w:rPr>
        <w:t> </w:t>
      </w:r>
      <w:r w:rsidRPr="003B6E6B">
        <w:rPr>
          <w:rFonts w:ascii="Garamond" w:eastAsiaTheme="minorHAnsi" w:hAnsi="Garamond"/>
          <w:color w:val="000000" w:themeColor="text1"/>
          <w:sz w:val="18"/>
          <w:szCs w:val="18"/>
        </w:rPr>
        <w:t>1996).</w:t>
      </w:r>
    </w:p>
  </w:footnote>
  <w:footnote w:id="65">
    <w:p w14:paraId="78B83C50" w14:textId="18960D15"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Patrick Bishop and Glyn Davis, </w:t>
      </w:r>
      <w:r w:rsidRPr="003B6E6B">
        <w:rPr>
          <w:rFonts w:ascii="Garamond" w:hAnsi="Garamond"/>
          <w:i/>
          <w:color w:val="000000" w:themeColor="text1"/>
          <w:sz w:val="18"/>
          <w:szCs w:val="18"/>
        </w:rPr>
        <w:t>Mapping Public Participation in Policy Choices,</w:t>
      </w:r>
      <w:r w:rsidRPr="003B6E6B">
        <w:rPr>
          <w:rFonts w:ascii="Garamond" w:hAnsi="Garamond"/>
          <w:color w:val="000000" w:themeColor="text1"/>
          <w:sz w:val="18"/>
          <w:szCs w:val="18"/>
        </w:rPr>
        <w:t xml:space="preserve"> 61 </w:t>
      </w:r>
      <w:r w:rsidRPr="00215A20">
        <w:rPr>
          <w:rFonts w:ascii="Garamond" w:hAnsi="Garamond"/>
          <w:smallCaps/>
          <w:color w:val="000000" w:themeColor="text1"/>
          <w:sz w:val="18"/>
          <w:szCs w:val="18"/>
        </w:rPr>
        <w:t>Australian Journal of Public Administration</w:t>
      </w:r>
      <w:r w:rsidR="00410194">
        <w:rPr>
          <w:rFonts w:ascii="Garamond" w:hAnsi="Garamond"/>
          <w:color w:val="000000" w:themeColor="text1"/>
          <w:sz w:val="18"/>
          <w:szCs w:val="18"/>
        </w:rPr>
        <w:t> </w:t>
      </w:r>
      <w:r w:rsidRPr="003B6E6B">
        <w:rPr>
          <w:rFonts w:ascii="Garamond" w:hAnsi="Garamond"/>
          <w:color w:val="000000" w:themeColor="text1"/>
          <w:sz w:val="18"/>
          <w:szCs w:val="18"/>
        </w:rPr>
        <w:t>14, 20 (2002).</w:t>
      </w:r>
    </w:p>
  </w:footnote>
  <w:footnote w:id="66">
    <w:p w14:paraId="4EEED1C5" w14:textId="23EC3F61"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Bishop and Davis do not consider FOI disclosure specifically, but do list judicial review of administrative decision-making and the principles of procedural fairness as a category of participation that does involve some compelled disclosure. This is participation as standing that </w:t>
      </w:r>
      <w:r w:rsidR="00410194">
        <w:rPr>
          <w:rFonts w:ascii="Garamond" w:hAnsi="Garamond"/>
          <w:color w:val="000000" w:themeColor="text1"/>
          <w:sz w:val="18"/>
          <w:szCs w:val="18"/>
        </w:rPr>
        <w:t>‘</w:t>
      </w:r>
      <w:r w:rsidRPr="003B6E6B">
        <w:rPr>
          <w:rFonts w:ascii="Garamond" w:hAnsi="Garamond"/>
          <w:color w:val="000000" w:themeColor="text1"/>
          <w:sz w:val="18"/>
          <w:szCs w:val="18"/>
        </w:rPr>
        <w:t>enables citizens and interest groups to enter the policy process through the courts</w:t>
      </w:r>
      <w:r w:rsidR="00410194">
        <w:rPr>
          <w:rFonts w:ascii="Garamond" w:hAnsi="Garamond"/>
          <w:color w:val="000000" w:themeColor="text1"/>
          <w:sz w:val="18"/>
          <w:szCs w:val="18"/>
        </w:rPr>
        <w:t>’</w:t>
      </w:r>
      <w:r w:rsidRPr="003B6E6B">
        <w:rPr>
          <w:rFonts w:ascii="Garamond" w:hAnsi="Garamond"/>
          <w:color w:val="000000" w:themeColor="text1"/>
          <w:sz w:val="18"/>
          <w:szCs w:val="18"/>
        </w:rPr>
        <w:t xml:space="preserve">: </w:t>
      </w:r>
      <w:r w:rsidRPr="003B6E6B">
        <w:rPr>
          <w:rFonts w:ascii="Garamond" w:hAnsi="Garamond"/>
          <w:i/>
          <w:color w:val="000000" w:themeColor="text1"/>
          <w:sz w:val="18"/>
          <w:szCs w:val="18"/>
        </w:rPr>
        <w:t>ibid</w:t>
      </w:r>
      <w:r w:rsidRPr="003B6E6B">
        <w:rPr>
          <w:rFonts w:ascii="Garamond" w:hAnsi="Garamond"/>
          <w:color w:val="000000" w:themeColor="text1"/>
          <w:sz w:val="18"/>
          <w:szCs w:val="18"/>
        </w:rPr>
        <w:t xml:space="preserve"> 22. </w:t>
      </w:r>
    </w:p>
  </w:footnote>
  <w:footnote w:id="67">
    <w:p w14:paraId="3AF248CF" w14:textId="0E59878B"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Helena Catt and Michael Murphy, </w:t>
      </w:r>
      <w:r w:rsidRPr="003B6E6B">
        <w:rPr>
          <w:rFonts w:ascii="Garamond" w:hAnsi="Garamond"/>
          <w:i/>
          <w:color w:val="000000" w:themeColor="text1"/>
          <w:sz w:val="18"/>
          <w:szCs w:val="18"/>
        </w:rPr>
        <w:t>What Voice for the People? Categorising Methods of Public Consultation</w:t>
      </w:r>
      <w:r w:rsidRPr="003B6E6B">
        <w:rPr>
          <w:rFonts w:ascii="Garamond" w:hAnsi="Garamond"/>
          <w:color w:val="000000" w:themeColor="text1"/>
          <w:sz w:val="18"/>
          <w:szCs w:val="18"/>
        </w:rPr>
        <w:t xml:space="preserve">, 38 </w:t>
      </w:r>
      <w:r w:rsidRPr="00215A20">
        <w:rPr>
          <w:rFonts w:ascii="Garamond" w:hAnsi="Garamond"/>
          <w:smallCaps/>
          <w:color w:val="000000" w:themeColor="text1"/>
          <w:sz w:val="18"/>
          <w:szCs w:val="18"/>
        </w:rPr>
        <w:t>Australian Journal of Political Science</w:t>
      </w:r>
      <w:r w:rsidR="00410194">
        <w:rPr>
          <w:rFonts w:ascii="Garamond" w:hAnsi="Garamond"/>
          <w:color w:val="000000" w:themeColor="text1"/>
          <w:sz w:val="18"/>
          <w:szCs w:val="18"/>
        </w:rPr>
        <w:t> </w:t>
      </w:r>
      <w:r w:rsidRPr="003B6E6B">
        <w:rPr>
          <w:rFonts w:ascii="Garamond" w:hAnsi="Garamond"/>
          <w:color w:val="000000" w:themeColor="text1"/>
          <w:sz w:val="18"/>
          <w:szCs w:val="18"/>
        </w:rPr>
        <w:t>407, 407 (2003).</w:t>
      </w:r>
    </w:p>
  </w:footnote>
  <w:footnote w:id="68">
    <w:p w14:paraId="7133D62F" w14:textId="7F516A3E" w:rsidR="00215A20"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Organisation for Economic Co-operation and Development (OECD), </w:t>
      </w:r>
      <w:r w:rsidRPr="003B6E6B">
        <w:rPr>
          <w:rFonts w:ascii="Garamond" w:hAnsi="Garamond"/>
          <w:i/>
          <w:color w:val="000000" w:themeColor="text1"/>
          <w:sz w:val="18"/>
          <w:szCs w:val="18"/>
        </w:rPr>
        <w:t>Citizens as Partners; Information, Consultation, and Public Participation in Policy-Making</w:t>
      </w:r>
      <w:r w:rsidR="00410194">
        <w:rPr>
          <w:rFonts w:ascii="Garamond" w:hAnsi="Garamond"/>
          <w:color w:val="000000" w:themeColor="text1"/>
          <w:sz w:val="18"/>
          <w:szCs w:val="18"/>
        </w:rPr>
        <w:t> </w:t>
      </w:r>
      <w:r w:rsidRPr="003B6E6B">
        <w:rPr>
          <w:rFonts w:ascii="Garamond" w:hAnsi="Garamond"/>
          <w:color w:val="000000" w:themeColor="text1"/>
          <w:sz w:val="18"/>
          <w:szCs w:val="18"/>
        </w:rPr>
        <w:t>12 (2001)</w:t>
      </w:r>
      <w:r w:rsidR="00215A20">
        <w:rPr>
          <w:rFonts w:ascii="Garamond" w:hAnsi="Garamond"/>
          <w:color w:val="000000" w:themeColor="text1"/>
          <w:sz w:val="18"/>
          <w:szCs w:val="18"/>
        </w:rPr>
        <w:t>:</w:t>
      </w:r>
    </w:p>
    <w:p w14:paraId="7BE009A8" w14:textId="68BED1ED" w:rsidR="00252A51" w:rsidRPr="003B6E6B" w:rsidRDefault="00252A51" w:rsidP="00975542">
      <w:pPr>
        <w:pStyle w:val="Notedebasdepage"/>
        <w:jc w:val="both"/>
        <w:rPr>
          <w:rFonts w:ascii="Garamond" w:hAnsi="Garamond"/>
          <w:color w:val="000000" w:themeColor="text1"/>
          <w:sz w:val="18"/>
          <w:szCs w:val="18"/>
        </w:rPr>
      </w:pPr>
      <w:r w:rsidRPr="003B6E6B">
        <w:rPr>
          <w:rFonts w:ascii="Garamond" w:hAnsi="Garamond"/>
          <w:color w:val="000000" w:themeColor="text1"/>
          <w:sz w:val="18"/>
          <w:szCs w:val="18"/>
        </w:rPr>
        <w:t>http://www.oecd-ilibrary.org/governance/citize</w:t>
      </w:r>
      <w:r w:rsidR="00215A20">
        <w:rPr>
          <w:rFonts w:ascii="Garamond" w:hAnsi="Garamond"/>
          <w:color w:val="000000" w:themeColor="text1"/>
          <w:sz w:val="18"/>
          <w:szCs w:val="18"/>
        </w:rPr>
        <w:t>ns-as-partners_9789264195561-en.</w:t>
      </w:r>
    </w:p>
  </w:footnote>
  <w:footnote w:id="69">
    <w:p w14:paraId="5CDF77C7" w14:textId="002E42B3"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Jennifer Shkabatur, </w:t>
      </w:r>
      <w:r w:rsidRPr="003B6E6B">
        <w:rPr>
          <w:rFonts w:ascii="Garamond" w:hAnsi="Garamond"/>
          <w:i/>
          <w:color w:val="000000" w:themeColor="text1"/>
          <w:sz w:val="18"/>
          <w:szCs w:val="18"/>
        </w:rPr>
        <w:t xml:space="preserve">Transparency With(out) Accountability: </w:t>
      </w:r>
      <w:r w:rsidRPr="003B6E6B">
        <w:rPr>
          <w:rFonts w:ascii="Garamond" w:hAnsi="Garamond"/>
          <w:bCs/>
          <w:i/>
          <w:color w:val="000000" w:themeColor="text1"/>
          <w:sz w:val="18"/>
          <w:szCs w:val="18"/>
        </w:rPr>
        <w:t>Open Government</w:t>
      </w:r>
      <w:r w:rsidRPr="003B6E6B">
        <w:rPr>
          <w:rFonts w:ascii="Garamond" w:hAnsi="Garamond"/>
          <w:i/>
          <w:color w:val="000000" w:themeColor="text1"/>
          <w:sz w:val="18"/>
          <w:szCs w:val="18"/>
        </w:rPr>
        <w:t xml:space="preserve"> in the United States, </w:t>
      </w:r>
      <w:r w:rsidRPr="003B6E6B">
        <w:rPr>
          <w:rFonts w:ascii="Garamond" w:hAnsi="Garamond"/>
          <w:color w:val="000000" w:themeColor="text1"/>
          <w:sz w:val="18"/>
          <w:szCs w:val="18"/>
        </w:rPr>
        <w:t xml:space="preserve">31 </w:t>
      </w:r>
      <w:r w:rsidRPr="00215A20">
        <w:rPr>
          <w:rFonts w:ascii="Garamond" w:hAnsi="Garamond"/>
          <w:smallCaps/>
          <w:color w:val="000000" w:themeColor="text1"/>
          <w:sz w:val="18"/>
          <w:szCs w:val="18"/>
        </w:rPr>
        <w:t>Yale Law &amp; Policy Review</w:t>
      </w:r>
      <w:r w:rsidR="00410194">
        <w:rPr>
          <w:rFonts w:ascii="Garamond" w:hAnsi="Garamond"/>
          <w:color w:val="000000" w:themeColor="text1"/>
          <w:sz w:val="18"/>
          <w:szCs w:val="18"/>
        </w:rPr>
        <w:t> </w:t>
      </w:r>
      <w:r w:rsidRPr="003B6E6B">
        <w:rPr>
          <w:rFonts w:ascii="Garamond" w:hAnsi="Garamond"/>
          <w:color w:val="000000" w:themeColor="text1"/>
          <w:sz w:val="18"/>
          <w:szCs w:val="18"/>
        </w:rPr>
        <w:t xml:space="preserve">79, 87 (2012); Nina Mendelson, </w:t>
      </w:r>
      <w:r w:rsidRPr="003B6E6B">
        <w:rPr>
          <w:rFonts w:ascii="Garamond" w:hAnsi="Garamond"/>
          <w:i/>
          <w:color w:val="000000" w:themeColor="text1"/>
          <w:sz w:val="18"/>
          <w:szCs w:val="18"/>
        </w:rPr>
        <w:t>Rulemaking, Democracy, and Torrents of E-Mail,</w:t>
      </w:r>
      <w:r w:rsidRPr="003B6E6B">
        <w:rPr>
          <w:rFonts w:ascii="Garamond" w:hAnsi="Garamond"/>
          <w:color w:val="000000" w:themeColor="text1"/>
          <w:sz w:val="18"/>
          <w:szCs w:val="18"/>
        </w:rPr>
        <w:t xml:space="preserve"> 79 </w:t>
      </w:r>
      <w:r w:rsidRPr="00215A20">
        <w:rPr>
          <w:rFonts w:ascii="Garamond" w:hAnsi="Garamond"/>
          <w:smallCaps/>
          <w:color w:val="000000" w:themeColor="text1"/>
          <w:sz w:val="18"/>
          <w:szCs w:val="18"/>
        </w:rPr>
        <w:t>George Washington Law Review</w:t>
      </w:r>
      <w:r w:rsidR="00410194">
        <w:rPr>
          <w:rFonts w:ascii="Garamond" w:hAnsi="Garamond"/>
          <w:color w:val="000000" w:themeColor="text1"/>
          <w:sz w:val="18"/>
          <w:szCs w:val="18"/>
        </w:rPr>
        <w:t> </w:t>
      </w:r>
      <w:r w:rsidRPr="003B6E6B">
        <w:rPr>
          <w:rFonts w:ascii="Garamond" w:hAnsi="Garamond"/>
          <w:color w:val="000000" w:themeColor="text1"/>
          <w:sz w:val="18"/>
          <w:szCs w:val="18"/>
        </w:rPr>
        <w:t>1343, 1363-1364, 1367 (2011).</w:t>
      </w:r>
    </w:p>
  </w:footnote>
  <w:footnote w:id="70">
    <w:p w14:paraId="0402EFFA" w14:textId="3A5F0432"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eastAsiaTheme="majorEastAsia" w:hAnsi="Garamond"/>
          <w:color w:val="000000" w:themeColor="text1"/>
          <w:sz w:val="18"/>
          <w:szCs w:val="18"/>
        </w:rPr>
        <w:footnoteRef/>
      </w:r>
      <w:r w:rsidRPr="003B6E6B">
        <w:rPr>
          <w:rFonts w:ascii="Garamond" w:hAnsi="Garamond"/>
          <w:color w:val="000000" w:themeColor="text1"/>
          <w:sz w:val="18"/>
          <w:szCs w:val="18"/>
        </w:rPr>
        <w:t xml:space="preserve"> Organisation for Economic Co-operation and Development (OECD), </w:t>
      </w:r>
      <w:r w:rsidRPr="00215A20">
        <w:rPr>
          <w:rFonts w:ascii="Garamond" w:hAnsi="Garamond"/>
          <w:i/>
          <w:color w:val="000000" w:themeColor="text1"/>
          <w:sz w:val="18"/>
          <w:szCs w:val="18"/>
        </w:rPr>
        <w:t>Open Government; Fostering Dialogue with Civil Society</w:t>
      </w:r>
      <w:r w:rsidR="00410194">
        <w:rPr>
          <w:rFonts w:ascii="Garamond" w:hAnsi="Garamond"/>
          <w:color w:val="000000" w:themeColor="text1"/>
          <w:sz w:val="18"/>
          <w:szCs w:val="18"/>
        </w:rPr>
        <w:t> </w:t>
      </w:r>
      <w:r w:rsidRPr="003B6E6B">
        <w:rPr>
          <w:rFonts w:ascii="Garamond" w:hAnsi="Garamond"/>
          <w:color w:val="000000" w:themeColor="text1"/>
          <w:sz w:val="18"/>
          <w:szCs w:val="18"/>
        </w:rPr>
        <w:t>10 (2003).</w:t>
      </w:r>
    </w:p>
  </w:footnote>
  <w:footnote w:id="71">
    <w:p w14:paraId="27B3FF13" w14:textId="77777777" w:rsidR="00215A20"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w:t>
      </w:r>
      <w:r w:rsidRPr="003B6E6B">
        <w:rPr>
          <w:rFonts w:ascii="Garamond" w:hAnsi="Garamond"/>
          <w:smallCaps/>
          <w:color w:val="000000" w:themeColor="text1"/>
          <w:sz w:val="18"/>
          <w:szCs w:val="18"/>
        </w:rPr>
        <w:t xml:space="preserve">United States. </w:t>
      </w:r>
      <w:r w:rsidRPr="003B6E6B">
        <w:rPr>
          <w:rFonts w:ascii="Garamond" w:eastAsiaTheme="minorHAnsi" w:hAnsi="Garamond"/>
          <w:smallCaps/>
          <w:color w:val="000000" w:themeColor="text1"/>
          <w:sz w:val="18"/>
          <w:szCs w:val="18"/>
        </w:rPr>
        <w:t>Office of Management and Budget (OMB)</w:t>
      </w:r>
      <w:r w:rsidRPr="003B6E6B">
        <w:rPr>
          <w:rFonts w:ascii="Garamond" w:hAnsi="Garamond"/>
          <w:smallCaps/>
          <w:color w:val="000000" w:themeColor="text1"/>
          <w:sz w:val="18"/>
          <w:szCs w:val="18"/>
        </w:rPr>
        <w:t xml:space="preserve"> Open Government Directive</w:t>
      </w:r>
      <w:r w:rsidRPr="003B6E6B">
        <w:rPr>
          <w:rFonts w:ascii="Garamond" w:hAnsi="Garamond"/>
          <w:i/>
          <w:color w:val="000000" w:themeColor="text1"/>
          <w:sz w:val="18"/>
          <w:szCs w:val="18"/>
        </w:rPr>
        <w:t xml:space="preserve"> </w:t>
      </w:r>
      <w:r w:rsidRPr="003B6E6B">
        <w:rPr>
          <w:rFonts w:ascii="Garamond" w:eastAsiaTheme="minorHAnsi" w:hAnsi="Garamond"/>
          <w:color w:val="000000" w:themeColor="text1"/>
          <w:sz w:val="18"/>
          <w:szCs w:val="18"/>
        </w:rPr>
        <w:t xml:space="preserve">(M-10-06) </w:t>
      </w:r>
      <w:r w:rsidRPr="003B6E6B">
        <w:rPr>
          <w:rFonts w:ascii="Garamond" w:hAnsi="Garamond"/>
          <w:color w:val="000000" w:themeColor="text1"/>
          <w:sz w:val="18"/>
          <w:szCs w:val="18"/>
        </w:rPr>
        <w:t>December 8, 2009</w:t>
      </w:r>
      <w:r w:rsidR="00215A20">
        <w:rPr>
          <w:rFonts w:ascii="Garamond" w:hAnsi="Garamond"/>
          <w:color w:val="000000" w:themeColor="text1"/>
          <w:sz w:val="18"/>
          <w:szCs w:val="18"/>
        </w:rPr>
        <w:t>:</w:t>
      </w:r>
    </w:p>
    <w:p w14:paraId="7FBD05C2" w14:textId="08DFC8B7" w:rsidR="00252A51" w:rsidRPr="003B6E6B" w:rsidRDefault="00252A51" w:rsidP="00975542">
      <w:pPr>
        <w:pStyle w:val="Notedebasdepage"/>
        <w:jc w:val="both"/>
        <w:rPr>
          <w:rFonts w:ascii="Garamond" w:eastAsiaTheme="minorHAnsi" w:hAnsi="Garamond"/>
          <w:color w:val="000000" w:themeColor="text1"/>
          <w:sz w:val="18"/>
          <w:szCs w:val="18"/>
        </w:rPr>
      </w:pPr>
      <w:r w:rsidRPr="003B6E6B">
        <w:rPr>
          <w:rFonts w:ascii="Garamond" w:hAnsi="Garamond"/>
          <w:color w:val="000000" w:themeColor="text1"/>
          <w:sz w:val="18"/>
          <w:szCs w:val="18"/>
        </w:rPr>
        <w:t xml:space="preserve">http://www.whitehouse.gov/sites/default/files/omb/assets/memoranda_2010/m10-06.pdf&gt; The OMB used </w:t>
      </w:r>
      <w:r w:rsidR="00410194">
        <w:rPr>
          <w:rFonts w:ascii="Garamond" w:hAnsi="Garamond"/>
          <w:color w:val="000000" w:themeColor="text1"/>
          <w:sz w:val="18"/>
          <w:szCs w:val="18"/>
        </w:rPr>
        <w:t>‘</w:t>
      </w:r>
      <w:r w:rsidRPr="003B6E6B">
        <w:rPr>
          <w:rFonts w:ascii="Garamond" w:hAnsi="Garamond"/>
          <w:color w:val="000000" w:themeColor="text1"/>
          <w:sz w:val="18"/>
          <w:szCs w:val="18"/>
        </w:rPr>
        <w:t>collaboration</w:t>
      </w:r>
      <w:r w:rsidR="00410194">
        <w:rPr>
          <w:rFonts w:ascii="Garamond" w:hAnsi="Garamond"/>
          <w:color w:val="000000" w:themeColor="text1"/>
          <w:sz w:val="18"/>
          <w:szCs w:val="18"/>
        </w:rPr>
        <w:t>’</w:t>
      </w:r>
      <w:r w:rsidRPr="003B6E6B">
        <w:rPr>
          <w:rFonts w:ascii="Garamond" w:hAnsi="Garamond"/>
          <w:color w:val="000000" w:themeColor="text1"/>
          <w:sz w:val="18"/>
          <w:szCs w:val="18"/>
        </w:rPr>
        <w:t xml:space="preserve"> to describe an active involvement.</w:t>
      </w:r>
    </w:p>
  </w:footnote>
  <w:footnote w:id="72">
    <w:p w14:paraId="077BA267" w14:textId="63BC9E28" w:rsidR="00215A20"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Organisation for Economic Co-operation and Development (OECD), </w:t>
      </w:r>
      <w:r w:rsidRPr="003B6E6B">
        <w:rPr>
          <w:rFonts w:ascii="Garamond" w:hAnsi="Garamond"/>
          <w:i/>
          <w:color w:val="000000" w:themeColor="text1"/>
          <w:sz w:val="18"/>
          <w:szCs w:val="18"/>
        </w:rPr>
        <w:t>Citizens as Partners; Information, Consultation, and Public Participation in Policy-Making</w:t>
      </w:r>
      <w:r w:rsidR="00410194">
        <w:rPr>
          <w:rFonts w:ascii="Garamond" w:hAnsi="Garamond"/>
          <w:color w:val="000000" w:themeColor="text1"/>
          <w:sz w:val="18"/>
          <w:szCs w:val="18"/>
        </w:rPr>
        <w:t> </w:t>
      </w:r>
      <w:r w:rsidRPr="003B6E6B">
        <w:rPr>
          <w:rFonts w:ascii="Garamond" w:hAnsi="Garamond"/>
          <w:color w:val="000000" w:themeColor="text1"/>
          <w:sz w:val="18"/>
          <w:szCs w:val="18"/>
        </w:rPr>
        <w:t>12 (2001)</w:t>
      </w:r>
      <w:r w:rsidR="00215A20">
        <w:rPr>
          <w:rFonts w:ascii="Garamond" w:hAnsi="Garamond"/>
          <w:color w:val="000000" w:themeColor="text1"/>
          <w:sz w:val="18"/>
          <w:szCs w:val="18"/>
        </w:rPr>
        <w:t>:</w:t>
      </w:r>
    </w:p>
    <w:p w14:paraId="1192EFAC" w14:textId="1A47CD0C" w:rsidR="00252A51" w:rsidRPr="003B6E6B" w:rsidRDefault="00252A51" w:rsidP="00975542">
      <w:pPr>
        <w:pStyle w:val="Notedebasdepage"/>
        <w:jc w:val="both"/>
        <w:rPr>
          <w:rFonts w:ascii="Garamond" w:hAnsi="Garamond"/>
          <w:color w:val="000000" w:themeColor="text1"/>
          <w:sz w:val="18"/>
          <w:szCs w:val="18"/>
        </w:rPr>
      </w:pPr>
      <w:r w:rsidRPr="003B6E6B">
        <w:rPr>
          <w:rFonts w:ascii="Garamond" w:hAnsi="Garamond"/>
          <w:color w:val="000000" w:themeColor="text1"/>
          <w:sz w:val="18"/>
          <w:szCs w:val="18"/>
        </w:rPr>
        <w:t>http://www.oecd-ilibrary.org/governance/citizens-as-partners_9789264195561</w:t>
      </w:r>
      <w:r w:rsidR="00215A20">
        <w:rPr>
          <w:rFonts w:ascii="Garamond" w:hAnsi="Garamond"/>
          <w:color w:val="000000" w:themeColor="text1"/>
          <w:sz w:val="18"/>
          <w:szCs w:val="18"/>
        </w:rPr>
        <w:t>-en.</w:t>
      </w:r>
    </w:p>
  </w:footnote>
  <w:footnote w:id="73">
    <w:p w14:paraId="4D014744" w14:textId="77777777"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w:t>
      </w:r>
      <w:r w:rsidRPr="00215A20">
        <w:rPr>
          <w:rFonts w:ascii="Garamond" w:hAnsi="Garamond"/>
          <w:i/>
          <w:color w:val="000000" w:themeColor="text1"/>
          <w:sz w:val="18"/>
          <w:szCs w:val="18"/>
        </w:rPr>
        <w:t>Ibid.</w:t>
      </w:r>
    </w:p>
  </w:footnote>
  <w:footnote w:id="74">
    <w:p w14:paraId="4517D4DE" w14:textId="074F7D24" w:rsidR="00252A51" w:rsidRPr="003B6E6B" w:rsidRDefault="00252A51" w:rsidP="00975542">
      <w:pPr>
        <w:pStyle w:val="Notedebasdepage"/>
        <w:jc w:val="both"/>
        <w:rPr>
          <w:rFonts w:ascii="Garamond" w:hAnsi="Garamond"/>
          <w:color w:val="000000" w:themeColor="text1"/>
          <w:sz w:val="18"/>
          <w:szCs w:val="18"/>
          <w:lang w:val="en-AU"/>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C.B. MacPherson, </w:t>
      </w:r>
      <w:r w:rsidRPr="00215A20">
        <w:rPr>
          <w:rFonts w:ascii="Garamond" w:hAnsi="Garamond"/>
          <w:smallCaps/>
          <w:color w:val="000000" w:themeColor="text1"/>
          <w:sz w:val="18"/>
          <w:szCs w:val="18"/>
        </w:rPr>
        <w:t>The Life and Times of Liberal Democracy</w:t>
      </w:r>
      <w:r w:rsidR="00410194">
        <w:rPr>
          <w:rFonts w:ascii="Garamond" w:hAnsi="Garamond"/>
          <w:color w:val="000000" w:themeColor="text1"/>
          <w:sz w:val="18"/>
          <w:szCs w:val="18"/>
        </w:rPr>
        <w:t> </w:t>
      </w:r>
      <w:r w:rsidRPr="003B6E6B">
        <w:rPr>
          <w:rFonts w:ascii="Garamond" w:hAnsi="Garamond"/>
          <w:color w:val="000000" w:themeColor="text1"/>
          <w:sz w:val="18"/>
          <w:szCs w:val="18"/>
        </w:rPr>
        <w:t>93 (Oxford University Press</w:t>
      </w:r>
      <w:r w:rsidR="00410194">
        <w:rPr>
          <w:rFonts w:ascii="Garamond" w:hAnsi="Garamond"/>
          <w:color w:val="000000" w:themeColor="text1"/>
          <w:sz w:val="18"/>
          <w:szCs w:val="18"/>
        </w:rPr>
        <w:t> </w:t>
      </w:r>
      <w:r w:rsidRPr="003B6E6B">
        <w:rPr>
          <w:rFonts w:ascii="Garamond" w:hAnsi="Garamond"/>
          <w:color w:val="000000" w:themeColor="text1"/>
          <w:sz w:val="18"/>
          <w:szCs w:val="18"/>
        </w:rPr>
        <w:t xml:space="preserve">1977); Carole Pateman, </w:t>
      </w:r>
      <w:r w:rsidRPr="00215A20">
        <w:rPr>
          <w:rFonts w:ascii="Garamond" w:hAnsi="Garamond"/>
          <w:smallCaps/>
          <w:color w:val="000000" w:themeColor="text1"/>
          <w:sz w:val="18"/>
          <w:szCs w:val="18"/>
        </w:rPr>
        <w:t>Participation and Democratic Theory</w:t>
      </w:r>
      <w:r w:rsidRPr="003B6E6B">
        <w:rPr>
          <w:rFonts w:ascii="Garamond" w:hAnsi="Garamond"/>
          <w:color w:val="000000" w:themeColor="text1"/>
          <w:sz w:val="18"/>
          <w:szCs w:val="18"/>
        </w:rPr>
        <w:t xml:space="preserve"> (Cambridge University Press</w:t>
      </w:r>
      <w:r w:rsidR="00410194">
        <w:rPr>
          <w:rFonts w:ascii="Garamond" w:hAnsi="Garamond"/>
          <w:color w:val="000000" w:themeColor="text1"/>
          <w:sz w:val="18"/>
          <w:szCs w:val="18"/>
        </w:rPr>
        <w:t> </w:t>
      </w:r>
      <w:r w:rsidRPr="003B6E6B">
        <w:rPr>
          <w:rFonts w:ascii="Garamond" w:hAnsi="Garamond"/>
          <w:color w:val="000000" w:themeColor="text1"/>
          <w:sz w:val="18"/>
          <w:szCs w:val="18"/>
        </w:rPr>
        <w:t xml:space="preserve">1970). </w:t>
      </w:r>
      <w:r w:rsidRPr="003B6E6B">
        <w:rPr>
          <w:rFonts w:ascii="Garamond" w:hAnsi="Garamond"/>
          <w:i/>
          <w:color w:val="000000" w:themeColor="text1"/>
          <w:sz w:val="18"/>
          <w:szCs w:val="18"/>
        </w:rPr>
        <w:t>See</w:t>
      </w:r>
      <w:r w:rsidR="003F6A60">
        <w:rPr>
          <w:rFonts w:ascii="Garamond" w:hAnsi="Garamond"/>
          <w:color w:val="000000" w:themeColor="text1"/>
          <w:sz w:val="18"/>
          <w:szCs w:val="18"/>
        </w:rPr>
        <w:t xml:space="preserve"> discussion in</w:t>
      </w:r>
      <w:r w:rsidRPr="003B6E6B">
        <w:rPr>
          <w:rFonts w:ascii="Garamond" w:hAnsi="Garamond"/>
          <w:color w:val="000000" w:themeColor="text1"/>
          <w:sz w:val="18"/>
          <w:szCs w:val="18"/>
        </w:rPr>
        <w:t xml:space="preserve"> David Held, </w:t>
      </w:r>
      <w:r w:rsidRPr="003F6A60">
        <w:rPr>
          <w:rFonts w:ascii="Garamond" w:hAnsi="Garamond"/>
          <w:smallCaps/>
          <w:color w:val="000000" w:themeColor="text1"/>
          <w:sz w:val="18"/>
          <w:szCs w:val="18"/>
        </w:rPr>
        <w:t>Models of Democracy</w:t>
      </w:r>
      <w:r w:rsidR="00410194">
        <w:rPr>
          <w:rFonts w:ascii="Garamond" w:hAnsi="Garamond"/>
          <w:color w:val="000000" w:themeColor="text1"/>
          <w:sz w:val="18"/>
          <w:szCs w:val="18"/>
        </w:rPr>
        <w:t> </w:t>
      </w:r>
      <w:r w:rsidRPr="003B6E6B">
        <w:rPr>
          <w:rFonts w:ascii="Garamond" w:hAnsi="Garamond"/>
          <w:color w:val="000000" w:themeColor="text1"/>
          <w:sz w:val="18"/>
          <w:szCs w:val="18"/>
        </w:rPr>
        <w:t>209 – 216 (3</w:t>
      </w:r>
      <w:r w:rsidRPr="003B6E6B">
        <w:rPr>
          <w:rFonts w:ascii="Garamond" w:hAnsi="Garamond"/>
          <w:color w:val="000000" w:themeColor="text1"/>
          <w:sz w:val="18"/>
          <w:szCs w:val="18"/>
          <w:vertAlign w:val="superscript"/>
        </w:rPr>
        <w:t>rd</w:t>
      </w:r>
      <w:r w:rsidRPr="003B6E6B">
        <w:rPr>
          <w:rFonts w:ascii="Garamond" w:hAnsi="Garamond"/>
          <w:color w:val="000000" w:themeColor="text1"/>
          <w:sz w:val="18"/>
          <w:szCs w:val="18"/>
        </w:rPr>
        <w:t xml:space="preserve"> ed Polity</w:t>
      </w:r>
      <w:r w:rsidR="00410194">
        <w:rPr>
          <w:rFonts w:ascii="Garamond" w:hAnsi="Garamond"/>
          <w:color w:val="000000" w:themeColor="text1"/>
          <w:sz w:val="18"/>
          <w:szCs w:val="18"/>
        </w:rPr>
        <w:t> </w:t>
      </w:r>
      <w:r w:rsidRPr="003B6E6B">
        <w:rPr>
          <w:rFonts w:ascii="Garamond" w:hAnsi="Garamond"/>
          <w:color w:val="000000" w:themeColor="text1"/>
          <w:sz w:val="18"/>
          <w:szCs w:val="18"/>
        </w:rPr>
        <w:t>2006).</w:t>
      </w:r>
    </w:p>
  </w:footnote>
  <w:footnote w:id="75">
    <w:p w14:paraId="3E4E2855" w14:textId="64797E61"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Francesca Polletta, </w:t>
      </w:r>
      <w:r w:rsidRPr="003B6E6B">
        <w:rPr>
          <w:rFonts w:ascii="Garamond" w:hAnsi="Garamond"/>
          <w:i/>
          <w:color w:val="000000" w:themeColor="text1"/>
          <w:sz w:val="18"/>
          <w:szCs w:val="18"/>
        </w:rPr>
        <w:t>Participatory Democracy in the New Millennium,</w:t>
      </w:r>
      <w:r w:rsidRPr="003B6E6B">
        <w:rPr>
          <w:rFonts w:ascii="Garamond" w:hAnsi="Garamond"/>
          <w:color w:val="000000" w:themeColor="text1"/>
          <w:sz w:val="18"/>
          <w:szCs w:val="18"/>
        </w:rPr>
        <w:t xml:space="preserve"> 42(1) </w:t>
      </w:r>
      <w:r w:rsidRPr="00215A20">
        <w:rPr>
          <w:rFonts w:ascii="Garamond" w:hAnsi="Garamond"/>
          <w:smallCaps/>
          <w:color w:val="000000" w:themeColor="text1"/>
          <w:sz w:val="18"/>
          <w:szCs w:val="18"/>
        </w:rPr>
        <w:t>Contemporary Sociology: A Journal of Reviews</w:t>
      </w:r>
      <w:r w:rsidR="00410194">
        <w:rPr>
          <w:rFonts w:ascii="Garamond" w:hAnsi="Garamond"/>
          <w:color w:val="000000" w:themeColor="text1"/>
          <w:sz w:val="18"/>
          <w:szCs w:val="18"/>
        </w:rPr>
        <w:t> </w:t>
      </w:r>
      <w:r w:rsidRPr="003B6E6B">
        <w:rPr>
          <w:rFonts w:ascii="Garamond" w:hAnsi="Garamond"/>
          <w:color w:val="000000" w:themeColor="text1"/>
          <w:sz w:val="18"/>
          <w:szCs w:val="18"/>
        </w:rPr>
        <w:t>40, 48 (2013).</w:t>
      </w:r>
    </w:p>
  </w:footnote>
  <w:footnote w:id="76">
    <w:p w14:paraId="576E1CFE" w14:textId="67DE03AB"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w:t>
      </w:r>
      <w:r w:rsidRPr="003B6E6B">
        <w:rPr>
          <w:rFonts w:ascii="Garamond" w:hAnsi="Garamond"/>
          <w:i/>
          <w:color w:val="000000" w:themeColor="text1"/>
          <w:sz w:val="18"/>
          <w:szCs w:val="18"/>
        </w:rPr>
        <w:t>See</w:t>
      </w:r>
      <w:r w:rsidRPr="003B6E6B">
        <w:rPr>
          <w:rFonts w:ascii="Garamond" w:hAnsi="Garamond"/>
          <w:color w:val="000000" w:themeColor="text1"/>
          <w:sz w:val="18"/>
          <w:szCs w:val="18"/>
        </w:rPr>
        <w:t xml:space="preserve"> above, Part</w:t>
      </w:r>
      <w:r w:rsidR="00410194">
        <w:rPr>
          <w:rFonts w:ascii="Garamond" w:hAnsi="Garamond"/>
          <w:color w:val="000000" w:themeColor="text1"/>
          <w:sz w:val="18"/>
          <w:szCs w:val="18"/>
        </w:rPr>
        <w:t> </w:t>
      </w:r>
      <w:r w:rsidRPr="003B6E6B">
        <w:rPr>
          <w:rFonts w:ascii="Garamond" w:hAnsi="Garamond"/>
          <w:color w:val="000000" w:themeColor="text1"/>
          <w:sz w:val="18"/>
          <w:szCs w:val="18"/>
        </w:rPr>
        <w:t>3.</w:t>
      </w:r>
    </w:p>
  </w:footnote>
  <w:footnote w:id="77">
    <w:p w14:paraId="365B2D7E" w14:textId="62FEC0DF"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The deliberative “turn” in democratic theory has been strongly influenced by Jürgen Habermas: Jürgen Habermas, The Structural Transformation of the Public Sphere: An enquiry into a Category of Bourgeois Society (Polity, 1989); John Dryzek, </w:t>
      </w:r>
      <w:r w:rsidRPr="00215A20">
        <w:rPr>
          <w:rFonts w:ascii="Garamond" w:hAnsi="Garamond"/>
          <w:smallCaps/>
          <w:color w:val="000000" w:themeColor="text1"/>
          <w:sz w:val="18"/>
          <w:szCs w:val="18"/>
        </w:rPr>
        <w:t>Deliberative Democracy and Beyond: Liberals, Critics, Contestations</w:t>
      </w:r>
      <w:r w:rsidR="00410194">
        <w:rPr>
          <w:rFonts w:ascii="Garamond" w:hAnsi="Garamond"/>
          <w:color w:val="000000" w:themeColor="text1"/>
          <w:sz w:val="18"/>
          <w:szCs w:val="18"/>
        </w:rPr>
        <w:t> </w:t>
      </w:r>
      <w:r w:rsidRPr="003B6E6B">
        <w:rPr>
          <w:rFonts w:ascii="Garamond" w:hAnsi="Garamond"/>
          <w:color w:val="000000" w:themeColor="text1"/>
          <w:sz w:val="18"/>
          <w:szCs w:val="18"/>
        </w:rPr>
        <w:t>1 (Oxford University Press, 2000).</w:t>
      </w:r>
    </w:p>
  </w:footnote>
  <w:footnote w:id="78">
    <w:p w14:paraId="62ECFFDB" w14:textId="2DFAF8E0"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Joshua Cohen, </w:t>
      </w:r>
      <w:r w:rsidRPr="003B6E6B">
        <w:rPr>
          <w:rFonts w:ascii="Garamond" w:hAnsi="Garamond"/>
          <w:i/>
          <w:color w:val="000000" w:themeColor="text1"/>
          <w:sz w:val="18"/>
          <w:szCs w:val="18"/>
        </w:rPr>
        <w:t>Deliberation and democratic legitimacy</w:t>
      </w:r>
      <w:r w:rsidRPr="003B6E6B">
        <w:rPr>
          <w:rFonts w:ascii="Garamond" w:hAnsi="Garamond"/>
          <w:color w:val="000000" w:themeColor="text1"/>
          <w:sz w:val="18"/>
          <w:szCs w:val="18"/>
        </w:rPr>
        <w:t xml:space="preserve"> in </w:t>
      </w:r>
      <w:r w:rsidRPr="003B6E6B">
        <w:rPr>
          <w:rFonts w:ascii="Garamond" w:hAnsi="Garamond"/>
          <w:smallCaps/>
          <w:color w:val="000000" w:themeColor="text1"/>
          <w:sz w:val="18"/>
          <w:szCs w:val="18"/>
        </w:rPr>
        <w:t>The Good Polity; Normative Analysis of the State</w:t>
      </w:r>
      <w:r w:rsidR="00410194">
        <w:rPr>
          <w:rFonts w:ascii="Garamond" w:hAnsi="Garamond"/>
          <w:smallCaps/>
          <w:color w:val="000000" w:themeColor="text1"/>
          <w:sz w:val="18"/>
          <w:szCs w:val="18"/>
        </w:rPr>
        <w:t> </w:t>
      </w:r>
      <w:r w:rsidRPr="003B6E6B">
        <w:rPr>
          <w:rFonts w:ascii="Garamond" w:hAnsi="Garamond"/>
          <w:smallCaps/>
          <w:color w:val="000000" w:themeColor="text1"/>
          <w:sz w:val="18"/>
          <w:szCs w:val="18"/>
        </w:rPr>
        <w:t xml:space="preserve">17 </w:t>
      </w:r>
      <w:r w:rsidRPr="003B6E6B">
        <w:rPr>
          <w:rFonts w:ascii="Garamond" w:hAnsi="Garamond"/>
          <w:color w:val="000000" w:themeColor="text1"/>
          <w:sz w:val="18"/>
          <w:szCs w:val="18"/>
        </w:rPr>
        <w:t>(Alan Hamilton and Philip Pettit eds.,</w:t>
      </w:r>
      <w:r w:rsidRPr="003B6E6B">
        <w:rPr>
          <w:rFonts w:ascii="Garamond" w:hAnsi="Garamond"/>
          <w:smallCaps/>
          <w:color w:val="000000" w:themeColor="text1"/>
          <w:sz w:val="18"/>
          <w:szCs w:val="18"/>
        </w:rPr>
        <w:t xml:space="preserve"> </w:t>
      </w:r>
      <w:r w:rsidRPr="003B6E6B">
        <w:rPr>
          <w:rFonts w:ascii="Garamond" w:hAnsi="Garamond"/>
          <w:color w:val="000000" w:themeColor="text1"/>
          <w:sz w:val="18"/>
          <w:szCs w:val="18"/>
        </w:rPr>
        <w:t>Blackwell</w:t>
      </w:r>
      <w:r w:rsidR="00410194">
        <w:rPr>
          <w:rFonts w:ascii="Garamond" w:hAnsi="Garamond"/>
          <w:color w:val="000000" w:themeColor="text1"/>
          <w:sz w:val="18"/>
          <w:szCs w:val="18"/>
        </w:rPr>
        <w:t> </w:t>
      </w:r>
      <w:r w:rsidRPr="003B6E6B">
        <w:rPr>
          <w:rFonts w:ascii="Garamond" w:hAnsi="Garamond"/>
          <w:color w:val="000000" w:themeColor="text1"/>
          <w:sz w:val="18"/>
          <w:szCs w:val="18"/>
        </w:rPr>
        <w:t xml:space="preserve">1989). Theories founded upon ideals of rational debate have been criticised by commentators who are concerned about the voices of minorities that are silenced in the process. </w:t>
      </w:r>
      <w:r w:rsidRPr="003B6E6B">
        <w:rPr>
          <w:rFonts w:ascii="Garamond" w:hAnsi="Garamond"/>
          <w:i/>
          <w:color w:val="000000" w:themeColor="text1"/>
          <w:sz w:val="18"/>
          <w:szCs w:val="18"/>
        </w:rPr>
        <w:t>See</w:t>
      </w:r>
      <w:r w:rsidRPr="003B6E6B">
        <w:rPr>
          <w:rFonts w:ascii="Garamond" w:hAnsi="Garamond"/>
          <w:color w:val="000000" w:themeColor="text1"/>
          <w:sz w:val="18"/>
          <w:szCs w:val="18"/>
        </w:rPr>
        <w:t xml:space="preserve"> for example: Iris Marion Young,</w:t>
      </w:r>
      <w:r w:rsidRPr="003B6E6B">
        <w:rPr>
          <w:rFonts w:ascii="Garamond" w:hAnsi="Garamond"/>
          <w:i/>
          <w:color w:val="000000" w:themeColor="text1"/>
          <w:sz w:val="18"/>
          <w:szCs w:val="18"/>
        </w:rPr>
        <w:t xml:space="preserve"> Communication and the Other: Beyond Deliberative Democracy</w:t>
      </w:r>
      <w:r w:rsidRPr="003B6E6B">
        <w:rPr>
          <w:rFonts w:ascii="Garamond" w:hAnsi="Garamond"/>
          <w:i/>
          <w:smallCaps/>
          <w:color w:val="000000" w:themeColor="text1"/>
          <w:sz w:val="18"/>
          <w:szCs w:val="18"/>
        </w:rPr>
        <w:t xml:space="preserve"> </w:t>
      </w:r>
      <w:r w:rsidRPr="003B6E6B">
        <w:rPr>
          <w:rFonts w:ascii="Garamond" w:hAnsi="Garamond"/>
          <w:color w:val="000000" w:themeColor="text1"/>
          <w:sz w:val="18"/>
          <w:szCs w:val="18"/>
        </w:rPr>
        <w:t xml:space="preserve">in </w:t>
      </w:r>
      <w:r w:rsidRPr="003B6E6B">
        <w:rPr>
          <w:rFonts w:ascii="Garamond" w:hAnsi="Garamond"/>
          <w:smallCaps/>
          <w:color w:val="000000" w:themeColor="text1"/>
          <w:sz w:val="18"/>
          <w:szCs w:val="18"/>
        </w:rPr>
        <w:t>Democracy and Difference: Contesting the Boundaries of the Political</w:t>
      </w:r>
      <w:r w:rsidRPr="003B6E6B">
        <w:rPr>
          <w:rFonts w:ascii="Garamond" w:hAnsi="Garamond"/>
          <w:color w:val="000000" w:themeColor="text1"/>
          <w:sz w:val="18"/>
          <w:szCs w:val="18"/>
        </w:rPr>
        <w:t xml:space="preserve"> 120 (Seyla Benhabib ed., 1996)</w:t>
      </w:r>
      <w:r w:rsidRPr="003B6E6B">
        <w:rPr>
          <w:rFonts w:ascii="Garamond" w:hAnsi="Garamond"/>
          <w:b/>
          <w:color w:val="000000" w:themeColor="text1"/>
          <w:sz w:val="18"/>
          <w:szCs w:val="18"/>
        </w:rPr>
        <w:t>.</w:t>
      </w:r>
    </w:p>
  </w:footnote>
  <w:footnote w:id="79">
    <w:p w14:paraId="39206088" w14:textId="2AF9162A"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Jürgen Habermas, Between Facts and Norms: Contributions to a Discourse Theory of Law and Democracy</w:t>
      </w:r>
      <w:r w:rsidR="00410194">
        <w:rPr>
          <w:rFonts w:ascii="Garamond" w:hAnsi="Garamond"/>
          <w:color w:val="000000" w:themeColor="text1"/>
          <w:sz w:val="18"/>
          <w:szCs w:val="18"/>
        </w:rPr>
        <w:t> </w:t>
      </w:r>
      <w:r w:rsidRPr="003B6E6B">
        <w:rPr>
          <w:rFonts w:ascii="Garamond" w:hAnsi="Garamond"/>
          <w:color w:val="000000" w:themeColor="text1"/>
          <w:sz w:val="18"/>
          <w:szCs w:val="18"/>
        </w:rPr>
        <w:t>301 (Polity Press</w:t>
      </w:r>
      <w:r w:rsidR="00410194">
        <w:rPr>
          <w:rFonts w:ascii="Garamond" w:hAnsi="Garamond"/>
          <w:color w:val="000000" w:themeColor="text1"/>
          <w:sz w:val="18"/>
          <w:szCs w:val="18"/>
        </w:rPr>
        <w:t> </w:t>
      </w:r>
      <w:r w:rsidRPr="003B6E6B">
        <w:rPr>
          <w:rFonts w:ascii="Garamond" w:hAnsi="Garamond"/>
          <w:color w:val="000000" w:themeColor="text1"/>
          <w:sz w:val="18"/>
          <w:szCs w:val="18"/>
        </w:rPr>
        <w:t>1996).</w:t>
      </w:r>
    </w:p>
  </w:footnote>
  <w:footnote w:id="80">
    <w:p w14:paraId="2A24116E" w14:textId="77777777"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w:t>
      </w:r>
      <w:r w:rsidRPr="003B6E6B">
        <w:rPr>
          <w:rFonts w:ascii="Garamond" w:hAnsi="Garamond"/>
          <w:i/>
          <w:color w:val="000000" w:themeColor="text1"/>
          <w:sz w:val="18"/>
          <w:szCs w:val="18"/>
        </w:rPr>
        <w:t>Ibid</w:t>
      </w:r>
      <w:r w:rsidRPr="003B6E6B">
        <w:rPr>
          <w:rFonts w:ascii="Garamond" w:hAnsi="Garamond"/>
          <w:color w:val="000000" w:themeColor="text1"/>
          <w:sz w:val="18"/>
          <w:szCs w:val="18"/>
        </w:rPr>
        <w:t xml:space="preserve"> 296. </w:t>
      </w:r>
    </w:p>
  </w:footnote>
  <w:footnote w:id="81">
    <w:p w14:paraId="44BD8280" w14:textId="386702C7" w:rsidR="00252A51" w:rsidRPr="003B6E6B" w:rsidRDefault="00252A51" w:rsidP="00975542">
      <w:pPr>
        <w:pStyle w:val="Notedebasdepage"/>
        <w:jc w:val="both"/>
        <w:rPr>
          <w:rFonts w:ascii="Garamond" w:hAnsi="Garamond"/>
          <w:color w:val="000000" w:themeColor="text1"/>
          <w:sz w:val="18"/>
          <w:szCs w:val="18"/>
          <w:lang w:val="en-AU"/>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Australia: </w:t>
      </w:r>
      <w:r w:rsidRPr="003B6E6B">
        <w:rPr>
          <w:rFonts w:ascii="Garamond" w:hAnsi="Garamond"/>
          <w:i/>
          <w:color w:val="000000" w:themeColor="text1"/>
          <w:sz w:val="18"/>
          <w:szCs w:val="18"/>
        </w:rPr>
        <w:t>Freedom of Information Act</w:t>
      </w:r>
      <w:r w:rsidR="00410194">
        <w:rPr>
          <w:rFonts w:ascii="Garamond" w:hAnsi="Garamond"/>
          <w:i/>
          <w:color w:val="000000" w:themeColor="text1"/>
          <w:sz w:val="18"/>
          <w:szCs w:val="18"/>
        </w:rPr>
        <w:t> </w:t>
      </w:r>
      <w:r w:rsidRPr="003B6E6B">
        <w:rPr>
          <w:rFonts w:ascii="Garamond" w:hAnsi="Garamond"/>
          <w:i/>
          <w:color w:val="000000" w:themeColor="text1"/>
          <w:sz w:val="18"/>
          <w:szCs w:val="18"/>
        </w:rPr>
        <w:t>1982</w:t>
      </w:r>
      <w:r w:rsidRPr="003B6E6B">
        <w:rPr>
          <w:rFonts w:ascii="Garamond" w:hAnsi="Garamond"/>
          <w:color w:val="000000" w:themeColor="text1"/>
          <w:sz w:val="18"/>
          <w:szCs w:val="18"/>
        </w:rPr>
        <w:t xml:space="preserve"> (Cth) §</w:t>
      </w:r>
      <w:r w:rsidR="00410194">
        <w:rPr>
          <w:rFonts w:ascii="Garamond" w:hAnsi="Garamond"/>
          <w:color w:val="000000" w:themeColor="text1"/>
          <w:sz w:val="18"/>
          <w:szCs w:val="18"/>
        </w:rPr>
        <w:t> </w:t>
      </w:r>
      <w:r w:rsidRPr="003B6E6B">
        <w:rPr>
          <w:rFonts w:ascii="Garamond" w:hAnsi="Garamond"/>
          <w:color w:val="000000" w:themeColor="text1"/>
          <w:sz w:val="18"/>
          <w:szCs w:val="18"/>
        </w:rPr>
        <w:t xml:space="preserve">47C; </w:t>
      </w:r>
      <w:r w:rsidRPr="003B6E6B">
        <w:rPr>
          <w:rFonts w:ascii="Garamond" w:hAnsi="Garamond"/>
          <w:i/>
          <w:color w:val="000000" w:themeColor="text1"/>
          <w:sz w:val="18"/>
          <w:szCs w:val="18"/>
          <w:lang w:val="en-AU"/>
        </w:rPr>
        <w:t>See</w:t>
      </w:r>
      <w:r w:rsidRPr="003B6E6B">
        <w:rPr>
          <w:rFonts w:ascii="Garamond" w:hAnsi="Garamond"/>
          <w:color w:val="000000" w:themeColor="text1"/>
          <w:sz w:val="18"/>
          <w:szCs w:val="18"/>
          <w:lang w:val="en-AU"/>
        </w:rPr>
        <w:t xml:space="preserve"> also the exemptions for deliberative material in the United States: </w:t>
      </w:r>
      <w:r w:rsidRPr="003B6E6B">
        <w:rPr>
          <w:rFonts w:ascii="Garamond" w:hAnsi="Garamond"/>
          <w:i/>
          <w:color w:val="000000" w:themeColor="text1"/>
          <w:sz w:val="18"/>
          <w:szCs w:val="18"/>
          <w:lang w:val="en-AU"/>
        </w:rPr>
        <w:t>Freedom of Information Act</w:t>
      </w:r>
      <w:r w:rsidR="00410194">
        <w:rPr>
          <w:rFonts w:ascii="Garamond" w:hAnsi="Garamond"/>
          <w:i/>
          <w:color w:val="000000" w:themeColor="text1"/>
          <w:sz w:val="18"/>
          <w:szCs w:val="18"/>
          <w:lang w:val="en-AU"/>
        </w:rPr>
        <w:t> </w:t>
      </w:r>
      <w:r w:rsidRPr="003B6E6B">
        <w:rPr>
          <w:rFonts w:ascii="Garamond" w:hAnsi="Garamond"/>
          <w:color w:val="000000" w:themeColor="text1"/>
          <w:sz w:val="18"/>
          <w:szCs w:val="18"/>
        </w:rPr>
        <w:t>5 U.S.C. §</w:t>
      </w:r>
      <w:r w:rsidR="00410194">
        <w:rPr>
          <w:rFonts w:ascii="Garamond" w:hAnsi="Garamond"/>
          <w:color w:val="000000" w:themeColor="text1"/>
          <w:sz w:val="18"/>
          <w:szCs w:val="18"/>
        </w:rPr>
        <w:t> </w:t>
      </w:r>
      <w:r w:rsidRPr="003B6E6B">
        <w:rPr>
          <w:rFonts w:ascii="Garamond" w:hAnsi="Garamond"/>
          <w:color w:val="000000" w:themeColor="text1"/>
          <w:sz w:val="18"/>
          <w:szCs w:val="18"/>
        </w:rPr>
        <w:t>552</w:t>
      </w:r>
      <w:r w:rsidRPr="003B6E6B">
        <w:rPr>
          <w:rFonts w:ascii="Garamond" w:hAnsi="Garamond"/>
          <w:color w:val="000000" w:themeColor="text1"/>
          <w:sz w:val="18"/>
          <w:szCs w:val="18"/>
          <w:lang w:val="en-AU"/>
        </w:rPr>
        <w:t>b</w:t>
      </w:r>
      <w:r w:rsidRPr="003B6E6B">
        <w:rPr>
          <w:rFonts w:ascii="Garamond" w:hAnsi="Garamond"/>
          <w:color w:val="000000" w:themeColor="text1"/>
          <w:sz w:val="18"/>
          <w:szCs w:val="18"/>
        </w:rPr>
        <w:t xml:space="preserve">(5), and the United Kingdom: </w:t>
      </w:r>
      <w:r w:rsidRPr="003B6E6B">
        <w:rPr>
          <w:rFonts w:ascii="Garamond" w:hAnsi="Garamond"/>
          <w:i/>
          <w:color w:val="000000" w:themeColor="text1"/>
          <w:sz w:val="18"/>
          <w:szCs w:val="18"/>
        </w:rPr>
        <w:t>Freedom of Information Act</w:t>
      </w:r>
      <w:r w:rsidR="00410194">
        <w:rPr>
          <w:rFonts w:ascii="Garamond" w:hAnsi="Garamond"/>
          <w:i/>
          <w:color w:val="000000" w:themeColor="text1"/>
          <w:sz w:val="18"/>
          <w:szCs w:val="18"/>
        </w:rPr>
        <w:t> </w:t>
      </w:r>
      <w:r w:rsidRPr="003B6E6B">
        <w:rPr>
          <w:rFonts w:ascii="Garamond" w:hAnsi="Garamond"/>
          <w:i/>
          <w:color w:val="000000" w:themeColor="text1"/>
          <w:sz w:val="18"/>
          <w:szCs w:val="18"/>
        </w:rPr>
        <w:t xml:space="preserve">2000 </w:t>
      </w:r>
      <w:r w:rsidRPr="003B6E6B">
        <w:rPr>
          <w:rFonts w:ascii="Garamond" w:hAnsi="Garamond"/>
          <w:color w:val="000000" w:themeColor="text1"/>
          <w:sz w:val="18"/>
          <w:szCs w:val="18"/>
        </w:rPr>
        <w:t>(UK) §</w:t>
      </w:r>
      <w:r w:rsidR="00410194">
        <w:rPr>
          <w:rFonts w:ascii="Garamond" w:hAnsi="Garamond"/>
          <w:color w:val="000000" w:themeColor="text1"/>
          <w:sz w:val="18"/>
          <w:szCs w:val="18"/>
        </w:rPr>
        <w:t> </w:t>
      </w:r>
      <w:r w:rsidRPr="003B6E6B">
        <w:rPr>
          <w:rFonts w:ascii="Garamond" w:hAnsi="Garamond"/>
          <w:color w:val="000000" w:themeColor="text1"/>
          <w:sz w:val="18"/>
          <w:szCs w:val="18"/>
        </w:rPr>
        <w:t>35, 36.</w:t>
      </w:r>
    </w:p>
  </w:footnote>
  <w:footnote w:id="82">
    <w:p w14:paraId="354444AA" w14:textId="023ADFC0"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Or rather its §</w:t>
      </w:r>
      <w:r w:rsidR="00410194">
        <w:rPr>
          <w:rFonts w:ascii="Garamond" w:hAnsi="Garamond"/>
          <w:color w:val="000000" w:themeColor="text1"/>
          <w:sz w:val="18"/>
          <w:szCs w:val="18"/>
        </w:rPr>
        <w:t> </w:t>
      </w:r>
      <w:r w:rsidRPr="003B6E6B">
        <w:rPr>
          <w:rFonts w:ascii="Garamond" w:hAnsi="Garamond"/>
          <w:color w:val="000000" w:themeColor="text1"/>
          <w:sz w:val="18"/>
          <w:szCs w:val="18"/>
        </w:rPr>
        <w:t>36 predecessor.</w:t>
      </w:r>
    </w:p>
  </w:footnote>
  <w:footnote w:id="83">
    <w:p w14:paraId="170AF145" w14:textId="20D3F22F"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Australia. Commonwealth Attorney-General, </w:t>
      </w:r>
      <w:r w:rsidRPr="00215A20">
        <w:rPr>
          <w:rFonts w:ascii="Garamond" w:hAnsi="Garamond"/>
          <w:i/>
          <w:color w:val="000000" w:themeColor="text1"/>
          <w:sz w:val="18"/>
          <w:szCs w:val="18"/>
        </w:rPr>
        <w:t>Freedom of Information Act</w:t>
      </w:r>
      <w:r w:rsidR="00410194">
        <w:rPr>
          <w:rFonts w:ascii="Garamond" w:hAnsi="Garamond"/>
          <w:i/>
          <w:color w:val="000000" w:themeColor="text1"/>
          <w:sz w:val="18"/>
          <w:szCs w:val="18"/>
        </w:rPr>
        <w:t> </w:t>
      </w:r>
      <w:r w:rsidRPr="00215A20">
        <w:rPr>
          <w:rFonts w:ascii="Garamond" w:hAnsi="Garamond"/>
          <w:i/>
          <w:color w:val="000000" w:themeColor="text1"/>
          <w:sz w:val="18"/>
          <w:szCs w:val="18"/>
        </w:rPr>
        <w:t>1982: Annual Report for the Period December 1982–June 1983</w:t>
      </w:r>
      <w:r w:rsidRPr="003B6E6B">
        <w:rPr>
          <w:rFonts w:ascii="Garamond" w:hAnsi="Garamond"/>
          <w:color w:val="000000" w:themeColor="text1"/>
          <w:sz w:val="18"/>
          <w:szCs w:val="18"/>
        </w:rPr>
        <w:t>, 102 (Parliamentary Paper No</w:t>
      </w:r>
      <w:r w:rsidR="00410194">
        <w:rPr>
          <w:rFonts w:ascii="Garamond" w:hAnsi="Garamond"/>
          <w:color w:val="000000" w:themeColor="text1"/>
          <w:sz w:val="18"/>
          <w:szCs w:val="18"/>
        </w:rPr>
        <w:t> </w:t>
      </w:r>
      <w:r w:rsidRPr="003B6E6B">
        <w:rPr>
          <w:rFonts w:ascii="Garamond" w:hAnsi="Garamond"/>
          <w:color w:val="000000" w:themeColor="text1"/>
          <w:sz w:val="18"/>
          <w:szCs w:val="18"/>
        </w:rPr>
        <w:t>328) (1983).</w:t>
      </w:r>
    </w:p>
  </w:footnote>
  <w:footnote w:id="84">
    <w:p w14:paraId="19D6B0CC" w14:textId="3AC66573"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Australia. Commonwealth Attorney-General’s Department, </w:t>
      </w:r>
      <w:r w:rsidRPr="00215A20">
        <w:rPr>
          <w:rFonts w:ascii="Garamond" w:hAnsi="Garamond"/>
          <w:i/>
          <w:color w:val="000000" w:themeColor="text1"/>
          <w:sz w:val="18"/>
          <w:szCs w:val="18"/>
        </w:rPr>
        <w:t>Proposed Freedom of Information Legislation; Report of Interdepartmental Committee</w:t>
      </w:r>
      <w:r w:rsidR="00410194">
        <w:rPr>
          <w:rFonts w:ascii="Garamond" w:hAnsi="Garamond"/>
          <w:color w:val="000000" w:themeColor="text1"/>
          <w:sz w:val="18"/>
          <w:szCs w:val="18"/>
        </w:rPr>
        <w:t> </w:t>
      </w:r>
      <w:r w:rsidRPr="003B6E6B">
        <w:rPr>
          <w:rFonts w:ascii="Garamond" w:hAnsi="Garamond"/>
          <w:color w:val="000000" w:themeColor="text1"/>
          <w:sz w:val="18"/>
          <w:szCs w:val="18"/>
        </w:rPr>
        <w:t>8 (1974).</w:t>
      </w:r>
    </w:p>
  </w:footnote>
  <w:footnote w:id="85">
    <w:p w14:paraId="5C493595" w14:textId="3D5CE353"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w:t>
      </w:r>
      <w:r w:rsidRPr="003B6E6B">
        <w:rPr>
          <w:rFonts w:ascii="Garamond" w:hAnsi="Garamond"/>
          <w:color w:val="000000" w:themeColor="text1"/>
          <w:sz w:val="18"/>
          <w:szCs w:val="18"/>
          <w:lang w:val="en"/>
        </w:rPr>
        <w:t>Australia. Interdepartmental Committee on Proposed Freedom of Information Legislation</w:t>
      </w:r>
      <w:r w:rsidRPr="003B6E6B">
        <w:rPr>
          <w:rFonts w:ascii="Garamond" w:hAnsi="Garamond"/>
          <w:color w:val="000000" w:themeColor="text1"/>
          <w:sz w:val="18"/>
          <w:szCs w:val="18"/>
        </w:rPr>
        <w:t xml:space="preserve">, </w:t>
      </w:r>
      <w:r w:rsidRPr="00215A20">
        <w:rPr>
          <w:rFonts w:ascii="Garamond" w:hAnsi="Garamond"/>
          <w:i/>
          <w:color w:val="000000" w:themeColor="text1"/>
          <w:sz w:val="18"/>
          <w:szCs w:val="18"/>
        </w:rPr>
        <w:t>Policy Proposals for Freedom of Information Legislation</w:t>
      </w:r>
      <w:r w:rsidRPr="00215A20">
        <w:rPr>
          <w:rFonts w:ascii="Garamond" w:hAnsi="Garamond"/>
          <w:i/>
          <w:color w:val="000000" w:themeColor="text1"/>
          <w:sz w:val="18"/>
          <w:szCs w:val="18"/>
          <w:lang w:val="en"/>
        </w:rPr>
        <w:t>: report of interdepartmental committee</w:t>
      </w:r>
      <w:r w:rsidR="00410194">
        <w:rPr>
          <w:rFonts w:ascii="Garamond" w:hAnsi="Garamond"/>
          <w:color w:val="000000" w:themeColor="text1"/>
          <w:sz w:val="18"/>
          <w:szCs w:val="18"/>
        </w:rPr>
        <w:t> </w:t>
      </w:r>
      <w:r w:rsidRPr="003B6E6B">
        <w:rPr>
          <w:rFonts w:ascii="Garamond" w:hAnsi="Garamond"/>
          <w:color w:val="000000" w:themeColor="text1"/>
          <w:sz w:val="18"/>
          <w:szCs w:val="18"/>
        </w:rPr>
        <w:t>45 (</w:t>
      </w:r>
      <w:r w:rsidRPr="003B6E6B">
        <w:rPr>
          <w:rStyle w:val="edition"/>
          <w:rFonts w:ascii="Garamond" w:hAnsi="Garamond"/>
          <w:color w:val="000000" w:themeColor="text1"/>
          <w:sz w:val="18"/>
          <w:szCs w:val="18"/>
        </w:rPr>
        <w:t xml:space="preserve">Parliamentary paper No. 400/1976) </w:t>
      </w:r>
      <w:r w:rsidRPr="003B6E6B">
        <w:rPr>
          <w:rFonts w:ascii="Garamond" w:hAnsi="Garamond"/>
          <w:color w:val="000000" w:themeColor="text1"/>
          <w:sz w:val="18"/>
          <w:szCs w:val="18"/>
        </w:rPr>
        <w:t>(Australian Government Publishing Service</w:t>
      </w:r>
      <w:r w:rsidR="00410194">
        <w:rPr>
          <w:rFonts w:ascii="Garamond" w:hAnsi="Garamond"/>
          <w:color w:val="000000" w:themeColor="text1"/>
          <w:sz w:val="18"/>
          <w:szCs w:val="18"/>
        </w:rPr>
        <w:t> </w:t>
      </w:r>
      <w:r w:rsidRPr="003B6E6B">
        <w:rPr>
          <w:rFonts w:ascii="Garamond" w:hAnsi="Garamond"/>
          <w:color w:val="000000" w:themeColor="text1"/>
          <w:sz w:val="18"/>
          <w:szCs w:val="18"/>
        </w:rPr>
        <w:t>1976)</w:t>
      </w:r>
      <w:r w:rsidRPr="003B6E6B">
        <w:rPr>
          <w:rStyle w:val="edition"/>
          <w:rFonts w:ascii="Garamond" w:hAnsi="Garamond"/>
          <w:color w:val="000000" w:themeColor="text1"/>
          <w:sz w:val="18"/>
          <w:szCs w:val="18"/>
        </w:rPr>
        <w:t>.</w:t>
      </w:r>
    </w:p>
  </w:footnote>
  <w:footnote w:id="86">
    <w:p w14:paraId="7F998D29" w14:textId="27DC44B0"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United States. </w:t>
      </w:r>
      <w:r w:rsidRPr="007630A6">
        <w:rPr>
          <w:rFonts w:ascii="Garamond" w:hAnsi="Garamond"/>
          <w:i/>
          <w:color w:val="000000" w:themeColor="text1"/>
          <w:sz w:val="18"/>
          <w:szCs w:val="18"/>
        </w:rPr>
        <w:t>Committee on the Judiciary. Senate Report</w:t>
      </w:r>
      <w:r w:rsidRPr="007630A6">
        <w:rPr>
          <w:rFonts w:ascii="Garamond" w:hAnsi="Garamond"/>
          <w:bCs/>
          <w:i/>
          <w:color w:val="000000" w:themeColor="text1"/>
          <w:sz w:val="18"/>
          <w:szCs w:val="18"/>
        </w:rPr>
        <w:t xml:space="preserve"> </w:t>
      </w:r>
      <w:r w:rsidRPr="007630A6">
        <w:rPr>
          <w:rFonts w:ascii="Garamond" w:hAnsi="Garamond"/>
          <w:i/>
          <w:color w:val="000000" w:themeColor="text1"/>
          <w:sz w:val="18"/>
          <w:szCs w:val="18"/>
        </w:rPr>
        <w:t>No.</w:t>
      </w:r>
      <w:r w:rsidR="00410194">
        <w:rPr>
          <w:rFonts w:ascii="Garamond" w:hAnsi="Garamond"/>
          <w:i/>
          <w:color w:val="000000" w:themeColor="text1"/>
          <w:sz w:val="18"/>
          <w:szCs w:val="18"/>
        </w:rPr>
        <w:t> </w:t>
      </w:r>
      <w:r w:rsidRPr="007630A6">
        <w:rPr>
          <w:rFonts w:ascii="Garamond" w:hAnsi="Garamond"/>
          <w:bCs/>
          <w:i/>
          <w:color w:val="000000" w:themeColor="text1"/>
          <w:sz w:val="18"/>
          <w:szCs w:val="18"/>
        </w:rPr>
        <w:t>813</w:t>
      </w:r>
      <w:r w:rsidRPr="003B6E6B">
        <w:rPr>
          <w:rFonts w:ascii="Garamond" w:hAnsi="Garamond"/>
          <w:bCs/>
          <w:color w:val="000000" w:themeColor="text1"/>
          <w:sz w:val="18"/>
          <w:szCs w:val="18"/>
        </w:rPr>
        <w:t xml:space="preserve">, </w:t>
      </w:r>
      <w:r w:rsidRPr="003B6E6B">
        <w:rPr>
          <w:rFonts w:ascii="Garamond" w:hAnsi="Garamond"/>
          <w:color w:val="000000" w:themeColor="text1"/>
          <w:sz w:val="18"/>
          <w:szCs w:val="18"/>
        </w:rPr>
        <w:t>89th Congress, 1</w:t>
      </w:r>
      <w:r w:rsidRPr="003B6E6B">
        <w:rPr>
          <w:rFonts w:ascii="Garamond" w:hAnsi="Garamond"/>
          <w:color w:val="000000" w:themeColor="text1"/>
          <w:sz w:val="18"/>
          <w:szCs w:val="18"/>
          <w:vertAlign w:val="superscript"/>
        </w:rPr>
        <w:t>st</w:t>
      </w:r>
      <w:r w:rsidRPr="003B6E6B">
        <w:rPr>
          <w:rFonts w:ascii="Garamond" w:hAnsi="Garamond"/>
          <w:color w:val="000000" w:themeColor="text1"/>
          <w:sz w:val="18"/>
          <w:szCs w:val="18"/>
        </w:rPr>
        <w:t xml:space="preserve"> Session</w:t>
      </w:r>
      <w:r w:rsidR="00410194">
        <w:rPr>
          <w:rFonts w:ascii="Garamond" w:hAnsi="Garamond"/>
          <w:color w:val="000000" w:themeColor="text1"/>
          <w:sz w:val="18"/>
          <w:szCs w:val="18"/>
        </w:rPr>
        <w:t> </w:t>
      </w:r>
      <w:r w:rsidRPr="003B6E6B">
        <w:rPr>
          <w:rFonts w:ascii="Garamond" w:hAnsi="Garamond"/>
          <w:color w:val="000000" w:themeColor="text1"/>
          <w:sz w:val="18"/>
          <w:szCs w:val="18"/>
        </w:rPr>
        <w:t xml:space="preserve">9 </w:t>
      </w:r>
      <w:r w:rsidRPr="003B6E6B">
        <w:rPr>
          <w:rFonts w:ascii="Garamond" w:hAnsi="Garamond"/>
          <w:bCs/>
          <w:color w:val="000000" w:themeColor="text1"/>
          <w:sz w:val="18"/>
          <w:szCs w:val="18"/>
        </w:rPr>
        <w:t>(October 4 1965).</w:t>
      </w:r>
    </w:p>
  </w:footnote>
  <w:footnote w:id="87">
    <w:p w14:paraId="08699161" w14:textId="77777777" w:rsidR="007630A6"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Australia. </w:t>
      </w:r>
      <w:r w:rsidRPr="007630A6">
        <w:rPr>
          <w:rFonts w:ascii="Garamond" w:hAnsi="Garamond"/>
          <w:i/>
          <w:color w:val="000000" w:themeColor="text1"/>
          <w:sz w:val="18"/>
          <w:szCs w:val="18"/>
        </w:rPr>
        <w:t>Department of the Prime-Minister and Cabinet, FOI Guidance Notes</w:t>
      </w:r>
      <w:r w:rsidRPr="007630A6">
        <w:rPr>
          <w:rFonts w:ascii="Garamond" w:hAnsi="Garamond"/>
          <w:bCs/>
          <w:i/>
          <w:color w:val="000000" w:themeColor="text1"/>
          <w:sz w:val="18"/>
          <w:szCs w:val="18"/>
        </w:rPr>
        <w:t xml:space="preserve"> </w:t>
      </w:r>
      <w:r w:rsidRPr="007630A6">
        <w:rPr>
          <w:rFonts w:ascii="Garamond" w:hAnsi="Garamond"/>
          <w:color w:val="000000" w:themeColor="text1"/>
          <w:sz w:val="18"/>
          <w:szCs w:val="18"/>
        </w:rPr>
        <w:t xml:space="preserve">[41] </w:t>
      </w:r>
      <w:r w:rsidRPr="007630A6">
        <w:rPr>
          <w:rFonts w:ascii="Garamond" w:hAnsi="Garamond"/>
          <w:bCs/>
          <w:color w:val="000000" w:themeColor="text1"/>
          <w:sz w:val="18"/>
          <w:szCs w:val="18"/>
        </w:rPr>
        <w:t>(</w:t>
      </w:r>
      <w:r w:rsidRPr="003B6E6B">
        <w:rPr>
          <w:rFonts w:ascii="Garamond" w:hAnsi="Garamond"/>
          <w:color w:val="000000" w:themeColor="text1"/>
          <w:sz w:val="18"/>
          <w:szCs w:val="18"/>
        </w:rPr>
        <w:t>July 2011)</w:t>
      </w:r>
      <w:r w:rsidR="007630A6">
        <w:rPr>
          <w:rFonts w:ascii="Garamond" w:hAnsi="Garamond"/>
          <w:color w:val="000000" w:themeColor="text1"/>
          <w:sz w:val="18"/>
          <w:szCs w:val="18"/>
        </w:rPr>
        <w:t>:</w:t>
      </w:r>
    </w:p>
    <w:p w14:paraId="49A8E975" w14:textId="40CDD9A2" w:rsidR="007630A6" w:rsidRPr="003B6E6B" w:rsidRDefault="007630A6" w:rsidP="00975542">
      <w:pPr>
        <w:pStyle w:val="Notedebasdepage"/>
        <w:jc w:val="both"/>
        <w:rPr>
          <w:rFonts w:ascii="Garamond" w:hAnsi="Garamond"/>
          <w:color w:val="000000" w:themeColor="text1"/>
          <w:sz w:val="18"/>
          <w:szCs w:val="18"/>
        </w:rPr>
      </w:pPr>
      <w:r w:rsidRPr="007630A6">
        <w:rPr>
          <w:rFonts w:ascii="Garamond" w:hAnsi="Garamond"/>
          <w:color w:val="000000" w:themeColor="text1"/>
          <w:sz w:val="18"/>
          <w:szCs w:val="18"/>
        </w:rPr>
        <w:t>http://www.ag.gov.au/RightsAndProtections/FOI/Documents/FOI Guidance Notes - Word.RTF</w:t>
      </w:r>
      <w:r>
        <w:rPr>
          <w:rFonts w:ascii="Garamond" w:hAnsi="Garamond"/>
          <w:color w:val="000000" w:themeColor="text1"/>
          <w:sz w:val="18"/>
          <w:szCs w:val="18"/>
        </w:rPr>
        <w:t>.</w:t>
      </w:r>
    </w:p>
  </w:footnote>
  <w:footnote w:id="88">
    <w:p w14:paraId="081A779C" w14:textId="23CFE32A"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w:t>
      </w:r>
      <w:r w:rsidRPr="003B6E6B">
        <w:rPr>
          <w:rFonts w:ascii="Garamond" w:hAnsi="Garamond"/>
          <w:i/>
          <w:color w:val="000000" w:themeColor="text1"/>
          <w:sz w:val="18"/>
          <w:szCs w:val="18"/>
        </w:rPr>
        <w:t>Freedom of Information Act</w:t>
      </w:r>
      <w:r w:rsidR="00410194">
        <w:rPr>
          <w:rFonts w:ascii="Garamond" w:hAnsi="Garamond"/>
          <w:i/>
          <w:color w:val="000000" w:themeColor="text1"/>
          <w:sz w:val="18"/>
          <w:szCs w:val="18"/>
        </w:rPr>
        <w:t> </w:t>
      </w:r>
      <w:r w:rsidRPr="003B6E6B">
        <w:rPr>
          <w:rFonts w:ascii="Garamond" w:hAnsi="Garamond"/>
          <w:i/>
          <w:color w:val="000000" w:themeColor="text1"/>
          <w:sz w:val="18"/>
          <w:szCs w:val="18"/>
        </w:rPr>
        <w:t>1982</w:t>
      </w:r>
      <w:r w:rsidRPr="003B6E6B">
        <w:rPr>
          <w:rFonts w:ascii="Garamond" w:hAnsi="Garamond"/>
          <w:color w:val="000000" w:themeColor="text1"/>
          <w:sz w:val="18"/>
          <w:szCs w:val="18"/>
        </w:rPr>
        <w:t xml:space="preserve"> (Cth) §</w:t>
      </w:r>
      <w:r w:rsidR="00410194">
        <w:rPr>
          <w:rFonts w:ascii="Garamond" w:hAnsi="Garamond"/>
          <w:color w:val="000000" w:themeColor="text1"/>
          <w:sz w:val="18"/>
          <w:szCs w:val="18"/>
        </w:rPr>
        <w:t> </w:t>
      </w:r>
      <w:r w:rsidRPr="003B6E6B">
        <w:rPr>
          <w:rFonts w:ascii="Garamond" w:hAnsi="Garamond"/>
          <w:color w:val="000000" w:themeColor="text1"/>
          <w:sz w:val="18"/>
          <w:szCs w:val="18"/>
        </w:rPr>
        <w:t>47C (1). Operational information that is required to be published, purely factional matieral, certain expert reports and formal statements of reasons are not deliberative matter: §</w:t>
      </w:r>
      <w:r w:rsidR="00410194">
        <w:rPr>
          <w:rFonts w:ascii="Garamond" w:hAnsi="Garamond"/>
          <w:color w:val="000000" w:themeColor="text1"/>
          <w:sz w:val="18"/>
          <w:szCs w:val="18"/>
        </w:rPr>
        <w:t> </w:t>
      </w:r>
      <w:r w:rsidRPr="003B6E6B">
        <w:rPr>
          <w:rFonts w:ascii="Garamond" w:hAnsi="Garamond"/>
          <w:color w:val="000000" w:themeColor="text1"/>
          <w:sz w:val="18"/>
          <w:szCs w:val="18"/>
        </w:rPr>
        <w:t>47C (1) – (2).</w:t>
      </w:r>
    </w:p>
  </w:footnote>
  <w:footnote w:id="89">
    <w:p w14:paraId="7A6B4807" w14:textId="52FE95FE" w:rsidR="00252A51" w:rsidRPr="003B6E6B" w:rsidRDefault="00252A51" w:rsidP="00975542">
      <w:pPr>
        <w:pStyle w:val="para-no-indent"/>
        <w:spacing w:before="0" w:after="0" w:line="240" w:lineRule="auto"/>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w:t>
      </w:r>
      <w:r w:rsidRPr="003B6E6B">
        <w:rPr>
          <w:rFonts w:ascii="Garamond" w:hAnsi="Garamond"/>
          <w:i/>
          <w:color w:val="000000" w:themeColor="text1"/>
          <w:sz w:val="18"/>
          <w:szCs w:val="18"/>
          <w:lang w:val="en"/>
        </w:rPr>
        <w:t>Freedom of Information Act</w:t>
      </w:r>
      <w:r w:rsidR="00410194">
        <w:rPr>
          <w:rFonts w:ascii="Garamond" w:hAnsi="Garamond"/>
          <w:i/>
          <w:color w:val="000000" w:themeColor="text1"/>
          <w:sz w:val="18"/>
          <w:szCs w:val="18"/>
          <w:lang w:val="en"/>
        </w:rPr>
        <w:t> </w:t>
      </w:r>
      <w:r w:rsidRPr="003B6E6B">
        <w:rPr>
          <w:rFonts w:ascii="Garamond" w:hAnsi="Garamond"/>
          <w:i/>
          <w:color w:val="000000" w:themeColor="text1"/>
          <w:sz w:val="18"/>
          <w:szCs w:val="18"/>
          <w:lang w:val="en"/>
        </w:rPr>
        <w:t>1982</w:t>
      </w:r>
      <w:r w:rsidRPr="003B6E6B">
        <w:rPr>
          <w:rFonts w:ascii="Garamond" w:hAnsi="Garamond"/>
          <w:color w:val="000000" w:themeColor="text1"/>
          <w:sz w:val="18"/>
          <w:szCs w:val="18"/>
          <w:lang w:val="en"/>
        </w:rPr>
        <w:t xml:space="preserve"> (Cth) §</w:t>
      </w:r>
      <w:r w:rsidR="00410194">
        <w:rPr>
          <w:rFonts w:ascii="Garamond" w:hAnsi="Garamond"/>
          <w:color w:val="000000" w:themeColor="text1"/>
          <w:sz w:val="18"/>
          <w:szCs w:val="18"/>
          <w:lang w:val="en"/>
        </w:rPr>
        <w:t> </w:t>
      </w:r>
      <w:r w:rsidRPr="003B6E6B">
        <w:rPr>
          <w:rFonts w:ascii="Garamond" w:hAnsi="Garamond"/>
          <w:color w:val="000000" w:themeColor="text1"/>
          <w:sz w:val="18"/>
          <w:szCs w:val="18"/>
        </w:rPr>
        <w:t>11A.</w:t>
      </w:r>
    </w:p>
  </w:footnote>
  <w:footnote w:id="90">
    <w:p w14:paraId="00B722C4" w14:textId="48E22CEA"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After reforms to the Australian Federal Act in 2010, risk of embarrassment to senior figures is no longer a reason for refusing access to information: </w:t>
      </w:r>
      <w:r w:rsidRPr="003B6E6B">
        <w:rPr>
          <w:rFonts w:ascii="Garamond" w:hAnsi="Garamond"/>
          <w:i/>
          <w:color w:val="000000" w:themeColor="text1"/>
          <w:sz w:val="18"/>
          <w:szCs w:val="18"/>
        </w:rPr>
        <w:t>Freedom of Information Act</w:t>
      </w:r>
      <w:r w:rsidR="00410194">
        <w:rPr>
          <w:rFonts w:ascii="Garamond" w:hAnsi="Garamond"/>
          <w:i/>
          <w:color w:val="000000" w:themeColor="text1"/>
          <w:sz w:val="18"/>
          <w:szCs w:val="18"/>
        </w:rPr>
        <w:t> </w:t>
      </w:r>
      <w:r w:rsidRPr="003B6E6B">
        <w:rPr>
          <w:rFonts w:ascii="Garamond" w:hAnsi="Garamond"/>
          <w:i/>
          <w:color w:val="000000" w:themeColor="text1"/>
          <w:sz w:val="18"/>
          <w:szCs w:val="18"/>
        </w:rPr>
        <w:t xml:space="preserve">1982 </w:t>
      </w:r>
      <w:r w:rsidRPr="003B6E6B">
        <w:rPr>
          <w:rFonts w:ascii="Garamond" w:hAnsi="Garamond"/>
          <w:color w:val="000000" w:themeColor="text1"/>
          <w:sz w:val="18"/>
          <w:szCs w:val="18"/>
        </w:rPr>
        <w:t>(Cth) §</w:t>
      </w:r>
      <w:r w:rsidR="00410194">
        <w:rPr>
          <w:rFonts w:ascii="Garamond" w:hAnsi="Garamond"/>
          <w:color w:val="000000" w:themeColor="text1"/>
          <w:sz w:val="18"/>
          <w:szCs w:val="18"/>
        </w:rPr>
        <w:t> </w:t>
      </w:r>
      <w:r w:rsidRPr="003B6E6B">
        <w:rPr>
          <w:rFonts w:ascii="Garamond" w:eastAsia="MS Mincho" w:hAnsi="Garamond"/>
          <w:color w:val="000000" w:themeColor="text1"/>
          <w:sz w:val="18"/>
          <w:szCs w:val="18"/>
        </w:rPr>
        <w:t>11B(4).</w:t>
      </w:r>
    </w:p>
  </w:footnote>
  <w:footnote w:id="91">
    <w:p w14:paraId="4642F865" w14:textId="54556835" w:rsidR="007630A6"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Allan Hawke, Review of the Freedom of Information Act</w:t>
      </w:r>
      <w:r w:rsidR="00410194">
        <w:rPr>
          <w:rFonts w:ascii="Garamond" w:hAnsi="Garamond"/>
          <w:color w:val="000000" w:themeColor="text1"/>
          <w:sz w:val="18"/>
          <w:szCs w:val="18"/>
        </w:rPr>
        <w:t> </w:t>
      </w:r>
      <w:r w:rsidRPr="003B6E6B">
        <w:rPr>
          <w:rFonts w:ascii="Garamond" w:hAnsi="Garamond"/>
          <w:color w:val="000000" w:themeColor="text1"/>
          <w:sz w:val="18"/>
          <w:szCs w:val="18"/>
        </w:rPr>
        <w:t>1982 and Australian Information Commissioner Act</w:t>
      </w:r>
      <w:r w:rsidR="00410194">
        <w:rPr>
          <w:rFonts w:ascii="Garamond" w:hAnsi="Garamond"/>
          <w:color w:val="000000" w:themeColor="text1"/>
          <w:sz w:val="18"/>
          <w:szCs w:val="18"/>
        </w:rPr>
        <w:t> </w:t>
      </w:r>
      <w:r w:rsidRPr="003B6E6B">
        <w:rPr>
          <w:rFonts w:ascii="Garamond" w:hAnsi="Garamond"/>
          <w:color w:val="000000" w:themeColor="text1"/>
          <w:sz w:val="18"/>
          <w:szCs w:val="18"/>
        </w:rPr>
        <w:t>2010 48 (2013)</w:t>
      </w:r>
      <w:r w:rsidR="007630A6">
        <w:rPr>
          <w:rFonts w:ascii="Garamond" w:hAnsi="Garamond"/>
          <w:color w:val="000000" w:themeColor="text1"/>
          <w:sz w:val="18"/>
          <w:szCs w:val="18"/>
        </w:rPr>
        <w:t>:</w:t>
      </w:r>
    </w:p>
    <w:p w14:paraId="0CBD742D" w14:textId="784315A7" w:rsidR="00252A51" w:rsidRPr="003B6E6B" w:rsidRDefault="00252A51" w:rsidP="00975542">
      <w:pPr>
        <w:pStyle w:val="Notedebasdepage"/>
        <w:jc w:val="both"/>
        <w:rPr>
          <w:rFonts w:ascii="Garamond" w:hAnsi="Garamond"/>
          <w:color w:val="000000" w:themeColor="text1"/>
          <w:sz w:val="18"/>
          <w:szCs w:val="18"/>
        </w:rPr>
      </w:pPr>
      <w:r w:rsidRPr="003B6E6B">
        <w:rPr>
          <w:rFonts w:ascii="Garamond" w:hAnsi="Garamond"/>
          <w:color w:val="000000" w:themeColor="text1"/>
          <w:sz w:val="18"/>
          <w:szCs w:val="18"/>
        </w:rPr>
        <w:t>http://www.ag.gov.au/consultat</w:t>
      </w:r>
      <w:r w:rsidR="007630A6">
        <w:rPr>
          <w:rFonts w:ascii="Garamond" w:hAnsi="Garamond"/>
          <w:color w:val="000000" w:themeColor="text1"/>
          <w:sz w:val="18"/>
          <w:szCs w:val="18"/>
        </w:rPr>
        <w:t>ions/pages/reviewoffoilaws.aspx.</w:t>
      </w:r>
    </w:p>
  </w:footnote>
  <w:footnote w:id="92">
    <w:p w14:paraId="5B1E93F3" w14:textId="473B79AA" w:rsidR="00252A51" w:rsidRDefault="00252A51" w:rsidP="00975542">
      <w:pPr>
        <w:pStyle w:val="Notedebasdepage"/>
        <w:jc w:val="both"/>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Australia. </w:t>
      </w:r>
      <w:r w:rsidRPr="007630A6">
        <w:rPr>
          <w:rFonts w:ascii="Garamond" w:hAnsi="Garamond"/>
          <w:color w:val="000000" w:themeColor="text1"/>
          <w:sz w:val="18"/>
          <w:szCs w:val="18"/>
        </w:rPr>
        <w:t xml:space="preserve">Department of the Prime-Minister and Cabinet, </w:t>
      </w:r>
      <w:r w:rsidRPr="007630A6">
        <w:rPr>
          <w:rFonts w:ascii="Garamond" w:hAnsi="Garamond"/>
          <w:i/>
          <w:color w:val="000000" w:themeColor="text1"/>
          <w:sz w:val="18"/>
          <w:szCs w:val="18"/>
        </w:rPr>
        <w:t>FOI Guidance Notes</w:t>
      </w:r>
      <w:r w:rsidRPr="007630A6">
        <w:rPr>
          <w:rFonts w:ascii="Garamond" w:hAnsi="Garamond"/>
          <w:bCs/>
          <w:color w:val="000000" w:themeColor="text1"/>
          <w:sz w:val="18"/>
          <w:szCs w:val="18"/>
        </w:rPr>
        <w:t xml:space="preserve"> </w:t>
      </w:r>
      <w:r w:rsidRPr="007630A6">
        <w:rPr>
          <w:rFonts w:ascii="Garamond" w:hAnsi="Garamond"/>
          <w:color w:val="000000" w:themeColor="text1"/>
          <w:sz w:val="18"/>
          <w:szCs w:val="18"/>
        </w:rPr>
        <w:t xml:space="preserve">[43] </w:t>
      </w:r>
      <w:r w:rsidRPr="007630A6">
        <w:rPr>
          <w:rFonts w:ascii="Garamond" w:hAnsi="Garamond"/>
          <w:bCs/>
          <w:color w:val="000000" w:themeColor="text1"/>
          <w:sz w:val="18"/>
          <w:szCs w:val="18"/>
        </w:rPr>
        <w:t>(</w:t>
      </w:r>
      <w:r w:rsidRPr="003B6E6B">
        <w:rPr>
          <w:rFonts w:ascii="Garamond" w:hAnsi="Garamond"/>
          <w:color w:val="000000" w:themeColor="text1"/>
          <w:sz w:val="18"/>
          <w:szCs w:val="18"/>
        </w:rPr>
        <w:t>July 2011)</w:t>
      </w:r>
      <w:r w:rsidR="007630A6">
        <w:rPr>
          <w:rFonts w:ascii="Garamond" w:hAnsi="Garamond"/>
          <w:color w:val="000000" w:themeColor="text1"/>
          <w:sz w:val="18"/>
          <w:szCs w:val="18"/>
        </w:rPr>
        <w:t>:</w:t>
      </w:r>
      <w:r w:rsidRPr="003B6E6B">
        <w:rPr>
          <w:rFonts w:ascii="Garamond" w:hAnsi="Garamond"/>
          <w:color w:val="000000" w:themeColor="text1"/>
          <w:sz w:val="18"/>
          <w:szCs w:val="18"/>
        </w:rPr>
        <w:t>‬</w:t>
      </w:r>
      <w:r w:rsidRPr="003B6E6B">
        <w:rPr>
          <w:rFonts w:ascii="Garamond" w:hAnsi="Garamond"/>
          <w:color w:val="000000" w:themeColor="text1"/>
          <w:sz w:val="18"/>
          <w:szCs w:val="18"/>
        </w:rPr>
        <w:t>‬</w:t>
      </w:r>
      <w:r w:rsidRPr="003B6E6B">
        <w:rPr>
          <w:rFonts w:ascii="Garamond" w:hAnsi="Garamond"/>
          <w:color w:val="000000" w:themeColor="text1"/>
          <w:sz w:val="18"/>
          <w:szCs w:val="18"/>
        </w:rPr>
        <w:t>‬</w:t>
      </w:r>
      <w:r w:rsidRPr="003B6E6B">
        <w:rPr>
          <w:rFonts w:ascii="Garamond" w:hAnsi="Garamond"/>
          <w:color w:val="000000" w:themeColor="text1"/>
          <w:sz w:val="18"/>
          <w:szCs w:val="18"/>
        </w:rPr>
        <w:t>‬</w:t>
      </w:r>
      <w:r w:rsidRPr="003B6E6B">
        <w:rPr>
          <w:rFonts w:ascii="Garamond" w:hAnsi="Garamond"/>
          <w:color w:val="000000" w:themeColor="text1"/>
          <w:sz w:val="18"/>
          <w:szCs w:val="18"/>
        </w:rPr>
        <w:t>‬</w:t>
      </w:r>
      <w:r w:rsidRPr="003B6E6B">
        <w:rPr>
          <w:rFonts w:ascii="Garamond" w:hAnsi="Garamond"/>
          <w:color w:val="000000" w:themeColor="text1"/>
          <w:sz w:val="18"/>
          <w:szCs w:val="18"/>
        </w:rPr>
        <w:t>‬</w:t>
      </w:r>
      <w:r w:rsidRPr="003B6E6B">
        <w:rPr>
          <w:rFonts w:ascii="Garamond" w:hAnsi="Garamond"/>
          <w:color w:val="000000" w:themeColor="text1"/>
          <w:sz w:val="18"/>
          <w:szCs w:val="18"/>
        </w:rPr>
        <w:t>‬</w:t>
      </w:r>
      <w:r w:rsidRPr="003B6E6B">
        <w:rPr>
          <w:rFonts w:ascii="Garamond" w:hAnsi="Garamond"/>
          <w:color w:val="000000" w:themeColor="text1"/>
          <w:sz w:val="18"/>
          <w:szCs w:val="18"/>
        </w:rPr>
        <w:t>‬</w:t>
      </w:r>
      <w:r w:rsidRPr="003B6E6B">
        <w:rPr>
          <w:rFonts w:ascii="Garamond" w:hAnsi="Garamond"/>
          <w:color w:val="000000" w:themeColor="text1"/>
          <w:sz w:val="18"/>
          <w:szCs w:val="18"/>
        </w:rPr>
        <w:t>‬</w:t>
      </w:r>
      <w:r w:rsidR="00892D07" w:rsidRPr="003B6E6B">
        <w:rPr>
          <w:rFonts w:ascii="Garamond" w:hAnsi="Garamond"/>
          <w:color w:val="000000" w:themeColor="text1"/>
          <w:sz w:val="18"/>
          <w:szCs w:val="18"/>
        </w:rPr>
        <w:t>‬</w:t>
      </w:r>
      <w:r w:rsidR="00191BD3" w:rsidRPr="003B6E6B">
        <w:rPr>
          <w:color w:val="000000" w:themeColor="text1"/>
        </w:rPr>
        <w:t>‬</w:t>
      </w:r>
      <w:r w:rsidR="0013354C" w:rsidRPr="003B6E6B">
        <w:rPr>
          <w:color w:val="000000" w:themeColor="text1"/>
        </w:rPr>
        <w:t>‬</w:t>
      </w:r>
      <w:r w:rsidR="00BA5B40" w:rsidRPr="003B6E6B">
        <w:rPr>
          <w:color w:val="000000" w:themeColor="text1"/>
        </w:rPr>
        <w:t>‬</w:t>
      </w:r>
      <w:r w:rsidR="001F4E88" w:rsidRPr="003B6E6B">
        <w:rPr>
          <w:color w:val="000000" w:themeColor="text1"/>
        </w:rPr>
        <w:t>‬</w:t>
      </w:r>
      <w:r w:rsidR="00AE1A8C">
        <w:t>‬</w:t>
      </w:r>
    </w:p>
    <w:p w14:paraId="4DFE70CF" w14:textId="1E19A44D" w:rsidR="007630A6" w:rsidRPr="003B6E6B" w:rsidRDefault="007630A6" w:rsidP="00975542">
      <w:pPr>
        <w:pStyle w:val="Notedebasdepage"/>
        <w:jc w:val="both"/>
        <w:rPr>
          <w:rFonts w:ascii="Garamond" w:hAnsi="Garamond"/>
          <w:color w:val="000000" w:themeColor="text1"/>
          <w:sz w:val="18"/>
          <w:szCs w:val="18"/>
        </w:rPr>
      </w:pPr>
      <w:r w:rsidRPr="007630A6">
        <w:rPr>
          <w:rFonts w:ascii="Garamond" w:hAnsi="Garamond"/>
          <w:color w:val="000000" w:themeColor="text1"/>
          <w:sz w:val="18"/>
          <w:szCs w:val="18"/>
        </w:rPr>
        <w:t>http://www.ag.gov.au/RightsAndProtections/FOI/Documents/FOI Guidance Notes - Word.RTF</w:t>
      </w:r>
      <w:r>
        <w:rPr>
          <w:rFonts w:ascii="Garamond" w:hAnsi="Garamond"/>
          <w:color w:val="000000" w:themeColor="text1"/>
          <w:sz w:val="18"/>
          <w:szCs w:val="18"/>
        </w:rPr>
        <w:t>.</w:t>
      </w:r>
    </w:p>
  </w:footnote>
  <w:footnote w:id="93">
    <w:p w14:paraId="3F1EC00F" w14:textId="080919F8"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w:t>
      </w:r>
      <w:r w:rsidRPr="003B6E6B">
        <w:rPr>
          <w:rFonts w:ascii="Garamond" w:hAnsi="Garamond"/>
          <w:i/>
          <w:color w:val="000000" w:themeColor="text1"/>
          <w:sz w:val="18"/>
          <w:szCs w:val="18"/>
        </w:rPr>
        <w:t>Ibid</w:t>
      </w:r>
      <w:r w:rsidRPr="003B6E6B">
        <w:rPr>
          <w:rFonts w:ascii="Garamond" w:hAnsi="Garamond"/>
          <w:color w:val="000000" w:themeColor="text1"/>
          <w:sz w:val="18"/>
          <w:szCs w:val="18"/>
        </w:rPr>
        <w:t xml:space="preserve"> [40].</w:t>
      </w:r>
    </w:p>
  </w:footnote>
  <w:footnote w:id="94">
    <w:p w14:paraId="19BADB77" w14:textId="77777777"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w:t>
      </w:r>
      <w:r w:rsidRPr="003B6E6B">
        <w:rPr>
          <w:rFonts w:ascii="Garamond" w:hAnsi="Garamond"/>
          <w:i/>
          <w:color w:val="000000" w:themeColor="text1"/>
          <w:sz w:val="18"/>
          <w:szCs w:val="18"/>
        </w:rPr>
        <w:t>Ibid</w:t>
      </w:r>
      <w:r w:rsidRPr="003B6E6B">
        <w:rPr>
          <w:rFonts w:ascii="Garamond" w:hAnsi="Garamond"/>
          <w:color w:val="000000" w:themeColor="text1"/>
          <w:sz w:val="18"/>
          <w:szCs w:val="18"/>
        </w:rPr>
        <w:t xml:space="preserve"> [38].</w:t>
      </w:r>
    </w:p>
  </w:footnote>
  <w:footnote w:id="95">
    <w:p w14:paraId="308219CE" w14:textId="77777777"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Ibid.</w:t>
      </w:r>
    </w:p>
  </w:footnote>
  <w:footnote w:id="96">
    <w:p w14:paraId="0A24C8CF" w14:textId="4AC31E05"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w:t>
      </w:r>
      <w:r w:rsidRPr="003B6E6B">
        <w:rPr>
          <w:rFonts w:ascii="Garamond" w:hAnsi="Garamond"/>
          <w:smallCaps/>
          <w:color w:val="000000" w:themeColor="text1"/>
          <w:sz w:val="18"/>
          <w:szCs w:val="18"/>
        </w:rPr>
        <w:t xml:space="preserve">Moira Paterson, </w:t>
      </w:r>
      <w:r w:rsidRPr="003B6E6B">
        <w:rPr>
          <w:rStyle w:val="xfootnoteitalic"/>
          <w:rFonts w:ascii="Garamond" w:hAnsi="Garamond"/>
          <w:smallCaps/>
          <w:color w:val="000000" w:themeColor="text1"/>
          <w:sz w:val="18"/>
          <w:szCs w:val="18"/>
        </w:rPr>
        <w:t>Freedom of Information and Privacy in Australia: Government and Information Access in the Modern State</w:t>
      </w:r>
      <w:r w:rsidRPr="003B6E6B">
        <w:rPr>
          <w:rFonts w:ascii="Garamond" w:hAnsi="Garamond"/>
          <w:color w:val="000000" w:themeColor="text1"/>
          <w:sz w:val="18"/>
          <w:szCs w:val="18"/>
        </w:rPr>
        <w:t xml:space="preserve"> [7.15] (LexisNexis Butterworths</w:t>
      </w:r>
      <w:r w:rsidR="00410194">
        <w:rPr>
          <w:rFonts w:ascii="Garamond" w:hAnsi="Garamond"/>
          <w:color w:val="000000" w:themeColor="text1"/>
          <w:sz w:val="18"/>
          <w:szCs w:val="18"/>
        </w:rPr>
        <w:t> </w:t>
      </w:r>
      <w:r w:rsidRPr="003B6E6B">
        <w:rPr>
          <w:rFonts w:ascii="Garamond" w:hAnsi="Garamond"/>
          <w:color w:val="000000" w:themeColor="text1"/>
          <w:sz w:val="18"/>
          <w:szCs w:val="18"/>
        </w:rPr>
        <w:t>2005). Concern to protect frank and fearless advice was apparent from the very early days of freedom of information in Australia:</w:t>
      </w:r>
      <w:r w:rsidRPr="003B6E6B">
        <w:rPr>
          <w:rFonts w:ascii="Garamond" w:hAnsi="Garamond"/>
          <w:color w:val="000000" w:themeColor="text1"/>
          <w:sz w:val="18"/>
          <w:szCs w:val="18"/>
          <w:lang w:eastAsia="en-AU"/>
        </w:rPr>
        <w:t xml:space="preserve"> </w:t>
      </w:r>
      <w:r w:rsidRPr="003B6E6B">
        <w:rPr>
          <w:rFonts w:ascii="Garamond" w:hAnsi="Garamond"/>
          <w:color w:val="000000" w:themeColor="text1"/>
          <w:sz w:val="18"/>
          <w:szCs w:val="18"/>
        </w:rPr>
        <w:t xml:space="preserve">Australia. </w:t>
      </w:r>
      <w:r w:rsidRPr="003B6E6B">
        <w:rPr>
          <w:rFonts w:ascii="Garamond" w:hAnsi="Garamond"/>
          <w:smallCaps/>
          <w:color w:val="000000" w:themeColor="text1"/>
          <w:sz w:val="18"/>
          <w:szCs w:val="18"/>
        </w:rPr>
        <w:t>Senate Standing Committee on Legal and Constitutional Affairs, Freedom of Information Act</w:t>
      </w:r>
      <w:r w:rsidR="00410194">
        <w:rPr>
          <w:rFonts w:ascii="Garamond" w:hAnsi="Garamond"/>
          <w:smallCaps/>
          <w:color w:val="000000" w:themeColor="text1"/>
          <w:sz w:val="18"/>
          <w:szCs w:val="18"/>
        </w:rPr>
        <w:t> </w:t>
      </w:r>
      <w:r w:rsidRPr="003B6E6B">
        <w:rPr>
          <w:rFonts w:ascii="Garamond" w:hAnsi="Garamond"/>
          <w:smallCaps/>
          <w:color w:val="000000" w:themeColor="text1"/>
          <w:sz w:val="18"/>
          <w:szCs w:val="18"/>
        </w:rPr>
        <w:t>1982; Report on the operation and administration of the freedom of information legislation</w:t>
      </w:r>
      <w:r w:rsidRPr="003B6E6B">
        <w:rPr>
          <w:rFonts w:ascii="Garamond" w:hAnsi="Garamond"/>
          <w:color w:val="000000" w:themeColor="text1"/>
          <w:sz w:val="18"/>
          <w:szCs w:val="18"/>
        </w:rPr>
        <w:t xml:space="preserve"> [2.65] –  [2.72] (1987).</w:t>
      </w:r>
      <w:r w:rsidRPr="003B6E6B">
        <w:rPr>
          <w:rFonts w:ascii="Garamond" w:hAnsi="Garamond"/>
          <w:color w:val="000000" w:themeColor="text1"/>
          <w:sz w:val="18"/>
          <w:szCs w:val="18"/>
        </w:rPr>
        <w:t>‬</w:t>
      </w:r>
      <w:r w:rsidRPr="003B6E6B">
        <w:rPr>
          <w:rFonts w:ascii="Garamond" w:hAnsi="Garamond"/>
          <w:color w:val="000000" w:themeColor="text1"/>
          <w:sz w:val="18"/>
          <w:szCs w:val="18"/>
        </w:rPr>
        <w:t>‬</w:t>
      </w:r>
      <w:r w:rsidRPr="003B6E6B">
        <w:rPr>
          <w:rFonts w:ascii="Garamond" w:hAnsi="Garamond"/>
          <w:color w:val="000000" w:themeColor="text1"/>
          <w:sz w:val="18"/>
          <w:szCs w:val="18"/>
        </w:rPr>
        <w:t>‬</w:t>
      </w:r>
      <w:r w:rsidRPr="003B6E6B">
        <w:rPr>
          <w:rFonts w:ascii="Garamond" w:hAnsi="Garamond"/>
          <w:color w:val="000000" w:themeColor="text1"/>
          <w:sz w:val="18"/>
          <w:szCs w:val="18"/>
        </w:rPr>
        <w:t>‬</w:t>
      </w:r>
      <w:r w:rsidRPr="003B6E6B">
        <w:rPr>
          <w:rFonts w:ascii="Garamond" w:hAnsi="Garamond"/>
          <w:color w:val="000000" w:themeColor="text1"/>
          <w:sz w:val="18"/>
          <w:szCs w:val="18"/>
        </w:rPr>
        <w:t>‬</w:t>
      </w:r>
      <w:r w:rsidRPr="003B6E6B">
        <w:rPr>
          <w:rFonts w:ascii="Garamond" w:hAnsi="Garamond"/>
          <w:color w:val="000000" w:themeColor="text1"/>
          <w:sz w:val="18"/>
          <w:szCs w:val="18"/>
        </w:rPr>
        <w:t>‬</w:t>
      </w:r>
      <w:r w:rsidRPr="003B6E6B">
        <w:rPr>
          <w:rFonts w:ascii="Garamond" w:hAnsi="Garamond"/>
          <w:color w:val="000000" w:themeColor="text1"/>
          <w:sz w:val="18"/>
          <w:szCs w:val="18"/>
        </w:rPr>
        <w:t>‬</w:t>
      </w:r>
      <w:r w:rsidRPr="003B6E6B">
        <w:rPr>
          <w:rFonts w:ascii="Garamond" w:hAnsi="Garamond"/>
          <w:color w:val="000000" w:themeColor="text1"/>
          <w:sz w:val="18"/>
          <w:szCs w:val="18"/>
        </w:rPr>
        <w:t>‬</w:t>
      </w:r>
      <w:r w:rsidRPr="003B6E6B">
        <w:rPr>
          <w:rFonts w:ascii="Garamond" w:hAnsi="Garamond"/>
          <w:color w:val="000000" w:themeColor="text1"/>
          <w:sz w:val="18"/>
          <w:szCs w:val="18"/>
        </w:rPr>
        <w:t>‬</w:t>
      </w:r>
      <w:r w:rsidRPr="003B6E6B">
        <w:rPr>
          <w:rFonts w:ascii="Garamond" w:hAnsi="Garamond"/>
          <w:color w:val="000000" w:themeColor="text1"/>
          <w:sz w:val="18"/>
          <w:szCs w:val="18"/>
        </w:rPr>
        <w:t>‬</w:t>
      </w:r>
      <w:r w:rsidRPr="003B6E6B">
        <w:rPr>
          <w:rFonts w:ascii="Garamond" w:hAnsi="Garamond"/>
          <w:color w:val="000000" w:themeColor="text1"/>
          <w:sz w:val="18"/>
          <w:szCs w:val="18"/>
        </w:rPr>
        <w:t>‬</w:t>
      </w:r>
      <w:r w:rsidRPr="003B6E6B">
        <w:rPr>
          <w:rFonts w:ascii="Garamond" w:hAnsi="Garamond"/>
          <w:color w:val="000000" w:themeColor="text1"/>
          <w:sz w:val="18"/>
          <w:szCs w:val="18"/>
        </w:rPr>
        <w:t>‬</w:t>
      </w:r>
      <w:r w:rsidRPr="003B6E6B">
        <w:rPr>
          <w:rFonts w:ascii="Garamond" w:hAnsi="Garamond"/>
          <w:color w:val="000000" w:themeColor="text1"/>
          <w:sz w:val="18"/>
          <w:szCs w:val="18"/>
        </w:rPr>
        <w:t>‬</w:t>
      </w:r>
      <w:r w:rsidRPr="003B6E6B">
        <w:rPr>
          <w:rFonts w:ascii="Garamond" w:hAnsi="Garamond"/>
          <w:color w:val="000000" w:themeColor="text1"/>
          <w:sz w:val="18"/>
          <w:szCs w:val="18"/>
        </w:rPr>
        <w:t>‬</w:t>
      </w:r>
      <w:r w:rsidRPr="003B6E6B">
        <w:rPr>
          <w:rFonts w:ascii="Garamond" w:hAnsi="Garamond"/>
          <w:color w:val="000000" w:themeColor="text1"/>
          <w:sz w:val="18"/>
          <w:szCs w:val="18"/>
          <w:lang w:eastAsia="en-AU"/>
        </w:rPr>
        <w:t xml:space="preserve"> </w:t>
      </w:r>
      <w:r w:rsidRPr="003B6E6B">
        <w:rPr>
          <w:rFonts w:ascii="Garamond" w:hAnsi="Garamond"/>
          <w:color w:val="000000" w:themeColor="text1"/>
          <w:sz w:val="18"/>
          <w:szCs w:val="18"/>
        </w:rPr>
        <w:t>However,</w:t>
      </w:r>
      <w:r w:rsidRPr="003B6E6B">
        <w:rPr>
          <w:rFonts w:ascii="Garamond" w:hAnsi="Garamond"/>
          <w:color w:val="000000" w:themeColor="text1"/>
          <w:sz w:val="18"/>
          <w:szCs w:val="18"/>
          <w:lang w:eastAsia="en-AU"/>
        </w:rPr>
        <w:t xml:space="preserve"> </w:t>
      </w:r>
      <w:r w:rsidRPr="003B6E6B">
        <w:rPr>
          <w:rFonts w:ascii="Garamond" w:hAnsi="Garamond"/>
          <w:color w:val="000000" w:themeColor="text1"/>
          <w:sz w:val="18"/>
          <w:szCs w:val="18"/>
        </w:rPr>
        <w:t xml:space="preserve">external review bodies have been reluctant to accept the arguments without specific evidence of harm: </w:t>
      </w:r>
      <w:r w:rsidRPr="003B6E6B">
        <w:rPr>
          <w:rFonts w:ascii="Garamond" w:hAnsi="Garamond"/>
          <w:i/>
          <w:color w:val="000000" w:themeColor="text1"/>
          <w:sz w:val="18"/>
          <w:szCs w:val="18"/>
        </w:rPr>
        <w:t>see</w:t>
      </w:r>
      <w:r w:rsidRPr="003B6E6B">
        <w:rPr>
          <w:rFonts w:ascii="Garamond" w:hAnsi="Garamond"/>
          <w:color w:val="000000" w:themeColor="text1"/>
          <w:sz w:val="18"/>
          <w:szCs w:val="18"/>
        </w:rPr>
        <w:t xml:space="preserve">, for instance: </w:t>
      </w:r>
      <w:r w:rsidRPr="003B6E6B">
        <w:rPr>
          <w:rFonts w:ascii="Garamond" w:hAnsi="Garamond"/>
          <w:i/>
          <w:color w:val="000000" w:themeColor="text1"/>
          <w:sz w:val="18"/>
          <w:szCs w:val="18"/>
        </w:rPr>
        <w:t>Re Eccleston and Department of Family Services, Aboriginal &amp; Islander Affairs</w:t>
      </w:r>
      <w:r w:rsidRPr="003B6E6B">
        <w:rPr>
          <w:rFonts w:ascii="Garamond" w:hAnsi="Garamond"/>
          <w:color w:val="000000" w:themeColor="text1"/>
          <w:sz w:val="18"/>
          <w:szCs w:val="18"/>
        </w:rPr>
        <w:t xml:space="preserve"> [1993] 1 QAR 60; </w:t>
      </w:r>
      <w:r w:rsidRPr="007630A6">
        <w:rPr>
          <w:rFonts w:ascii="Garamond" w:hAnsi="Garamond"/>
          <w:color w:val="000000" w:themeColor="text1"/>
          <w:sz w:val="18"/>
          <w:szCs w:val="18"/>
        </w:rPr>
        <w:t>Australian Law Reform Commission and Administrative Review Council,</w:t>
      </w:r>
      <w:r w:rsidRPr="007630A6">
        <w:rPr>
          <w:rFonts w:ascii="Garamond" w:hAnsi="Garamond"/>
          <w:i/>
          <w:color w:val="000000" w:themeColor="text1"/>
          <w:sz w:val="18"/>
          <w:szCs w:val="18"/>
        </w:rPr>
        <w:t xml:space="preserve"> Open Government: A Review of the Federal Freedom of Information Act</w:t>
      </w:r>
      <w:r w:rsidR="00410194">
        <w:rPr>
          <w:rFonts w:ascii="Garamond" w:hAnsi="Garamond"/>
          <w:i/>
          <w:color w:val="000000" w:themeColor="text1"/>
          <w:sz w:val="18"/>
          <w:szCs w:val="18"/>
        </w:rPr>
        <w:t> </w:t>
      </w:r>
      <w:r w:rsidRPr="007630A6">
        <w:rPr>
          <w:rFonts w:ascii="Garamond" w:hAnsi="Garamond"/>
          <w:i/>
          <w:color w:val="000000" w:themeColor="text1"/>
          <w:sz w:val="18"/>
          <w:szCs w:val="18"/>
        </w:rPr>
        <w:t>1982</w:t>
      </w:r>
      <w:r w:rsidRPr="007630A6">
        <w:rPr>
          <w:rFonts w:ascii="Garamond" w:hAnsi="Garamond"/>
          <w:color w:val="000000" w:themeColor="text1"/>
          <w:sz w:val="18"/>
          <w:szCs w:val="18"/>
        </w:rPr>
        <w:t>, Report No</w:t>
      </w:r>
      <w:r w:rsidR="007630A6">
        <w:rPr>
          <w:rFonts w:ascii="Garamond" w:hAnsi="Garamond"/>
          <w:color w:val="000000" w:themeColor="text1"/>
          <w:sz w:val="18"/>
          <w:szCs w:val="18"/>
        </w:rPr>
        <w:t>.</w:t>
      </w:r>
      <w:r w:rsidR="00410194">
        <w:rPr>
          <w:rFonts w:ascii="Garamond" w:hAnsi="Garamond"/>
          <w:color w:val="000000" w:themeColor="text1"/>
          <w:sz w:val="18"/>
          <w:szCs w:val="18"/>
        </w:rPr>
        <w:t> </w:t>
      </w:r>
      <w:r w:rsidRPr="007630A6">
        <w:rPr>
          <w:rFonts w:ascii="Garamond" w:hAnsi="Garamond"/>
          <w:color w:val="000000" w:themeColor="text1"/>
          <w:sz w:val="18"/>
          <w:szCs w:val="18"/>
        </w:rPr>
        <w:t>77 (ALRC) and Report No</w:t>
      </w:r>
      <w:r w:rsidR="007630A6">
        <w:rPr>
          <w:rFonts w:ascii="Garamond" w:hAnsi="Garamond"/>
          <w:color w:val="000000" w:themeColor="text1"/>
          <w:sz w:val="18"/>
          <w:szCs w:val="18"/>
        </w:rPr>
        <w:t>.</w:t>
      </w:r>
      <w:r w:rsidR="00410194">
        <w:rPr>
          <w:rFonts w:ascii="Garamond" w:hAnsi="Garamond"/>
          <w:color w:val="000000" w:themeColor="text1"/>
          <w:sz w:val="18"/>
          <w:szCs w:val="18"/>
        </w:rPr>
        <w:t> </w:t>
      </w:r>
      <w:r w:rsidRPr="007630A6">
        <w:rPr>
          <w:rFonts w:ascii="Garamond" w:hAnsi="Garamond"/>
          <w:color w:val="000000" w:themeColor="text1"/>
          <w:sz w:val="18"/>
          <w:szCs w:val="18"/>
        </w:rPr>
        <w:t>40</w:t>
      </w:r>
      <w:r w:rsidRPr="003B6E6B">
        <w:rPr>
          <w:rFonts w:ascii="Garamond" w:hAnsi="Garamond"/>
          <w:color w:val="000000" w:themeColor="text1"/>
          <w:sz w:val="18"/>
          <w:szCs w:val="18"/>
        </w:rPr>
        <w:t xml:space="preserve"> (ARC) </w:t>
      </w:r>
      <w:r w:rsidRPr="003B6E6B">
        <w:rPr>
          <w:rFonts w:ascii="Garamond" w:hAnsi="Garamond"/>
          <w:color w:val="000000" w:themeColor="text1"/>
          <w:sz w:val="18"/>
          <w:szCs w:val="18"/>
          <w:lang w:val="en-AU"/>
        </w:rPr>
        <w:t>[9.16</w:t>
      </w:r>
      <w:r w:rsidRPr="003B6E6B">
        <w:rPr>
          <w:rFonts w:ascii="Garamond" w:hAnsi="Garamond"/>
          <w:color w:val="000000" w:themeColor="text1"/>
          <w:sz w:val="18"/>
          <w:szCs w:val="18"/>
        </w:rPr>
        <w:t>] (1995).</w:t>
      </w:r>
    </w:p>
  </w:footnote>
  <w:footnote w:id="97">
    <w:p w14:paraId="40385FED" w14:textId="48B7B86F"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For a discussion </w:t>
      </w:r>
      <w:r w:rsidR="003F6A60" w:rsidRPr="007630A6">
        <w:rPr>
          <w:rFonts w:ascii="Garamond" w:hAnsi="Garamond"/>
          <w:i/>
          <w:color w:val="000000" w:themeColor="text1"/>
          <w:sz w:val="18"/>
          <w:szCs w:val="18"/>
        </w:rPr>
        <w:t>see</w:t>
      </w:r>
      <w:r w:rsidRPr="003B6E6B">
        <w:rPr>
          <w:rFonts w:ascii="Garamond" w:hAnsi="Garamond"/>
          <w:color w:val="000000" w:themeColor="text1"/>
          <w:sz w:val="18"/>
          <w:szCs w:val="18"/>
        </w:rPr>
        <w:t xml:space="preserve"> </w:t>
      </w:r>
      <w:r w:rsidRPr="003B6E6B">
        <w:rPr>
          <w:rFonts w:ascii="Garamond" w:hAnsi="Garamond"/>
          <w:i/>
          <w:color w:val="000000" w:themeColor="text1"/>
          <w:sz w:val="18"/>
          <w:szCs w:val="18"/>
        </w:rPr>
        <w:t>Mullett and Attorney-General’s Department</w:t>
      </w:r>
      <w:r w:rsidRPr="003B6E6B">
        <w:rPr>
          <w:rFonts w:ascii="Garamond" w:hAnsi="Garamond"/>
          <w:color w:val="000000" w:themeColor="text1"/>
          <w:sz w:val="18"/>
          <w:szCs w:val="18"/>
        </w:rPr>
        <w:t xml:space="preserve"> [2012] AATA</w:t>
      </w:r>
      <w:r w:rsidR="00410194">
        <w:rPr>
          <w:rFonts w:ascii="Garamond" w:hAnsi="Garamond"/>
          <w:color w:val="000000" w:themeColor="text1"/>
          <w:sz w:val="18"/>
          <w:szCs w:val="18"/>
        </w:rPr>
        <w:t> </w:t>
      </w:r>
      <w:r w:rsidRPr="003B6E6B">
        <w:rPr>
          <w:rFonts w:ascii="Garamond" w:hAnsi="Garamond"/>
          <w:color w:val="000000" w:themeColor="text1"/>
          <w:sz w:val="18"/>
          <w:szCs w:val="18"/>
        </w:rPr>
        <w:t>103 [77] – [82].</w:t>
      </w:r>
    </w:p>
  </w:footnote>
  <w:footnote w:id="98">
    <w:p w14:paraId="4DC4DFD0" w14:textId="560729B4"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Judith Bannister, </w:t>
      </w:r>
      <w:r w:rsidRPr="003B6E6B">
        <w:rPr>
          <w:rFonts w:ascii="Garamond" w:hAnsi="Garamond"/>
          <w:i/>
          <w:color w:val="000000" w:themeColor="text1"/>
          <w:sz w:val="18"/>
          <w:szCs w:val="18"/>
        </w:rPr>
        <w:t>Freedom of information: A new era with old tensions</w:t>
      </w:r>
      <w:r w:rsidRPr="003B6E6B">
        <w:rPr>
          <w:rFonts w:ascii="Garamond" w:hAnsi="Garamond"/>
          <w:color w:val="000000" w:themeColor="text1"/>
          <w:sz w:val="18"/>
          <w:szCs w:val="18"/>
        </w:rPr>
        <w:t xml:space="preserve"> in </w:t>
      </w:r>
      <w:r w:rsidRPr="003B6E6B">
        <w:rPr>
          <w:rFonts w:ascii="Garamond" w:hAnsi="Garamond"/>
          <w:smallCaps/>
          <w:color w:val="000000" w:themeColor="text1"/>
          <w:sz w:val="18"/>
          <w:szCs w:val="18"/>
        </w:rPr>
        <w:t xml:space="preserve">Cambridge Companion to Administrative Law </w:t>
      </w:r>
      <w:r w:rsidRPr="003B6E6B">
        <w:rPr>
          <w:rFonts w:ascii="Garamond" w:hAnsi="Garamond"/>
          <w:color w:val="000000" w:themeColor="text1"/>
          <w:sz w:val="18"/>
          <w:szCs w:val="18"/>
        </w:rPr>
        <w:t>(Matthew Groves</w:t>
      </w:r>
      <w:r w:rsidRPr="003B6E6B">
        <w:rPr>
          <w:rFonts w:ascii="Garamond" w:hAnsi="Garamond"/>
          <w:i/>
          <w:color w:val="000000" w:themeColor="text1"/>
          <w:sz w:val="18"/>
          <w:szCs w:val="18"/>
        </w:rPr>
        <w:t xml:space="preserve"> </w:t>
      </w:r>
      <w:r w:rsidRPr="003B6E6B">
        <w:rPr>
          <w:rFonts w:ascii="Garamond" w:hAnsi="Garamond"/>
          <w:color w:val="000000" w:themeColor="text1"/>
          <w:sz w:val="18"/>
          <w:szCs w:val="18"/>
        </w:rPr>
        <w:t>ed.,</w:t>
      </w:r>
      <w:r w:rsidRPr="003B6E6B">
        <w:rPr>
          <w:rFonts w:ascii="Garamond" w:hAnsi="Garamond"/>
          <w:smallCaps/>
          <w:color w:val="000000" w:themeColor="text1"/>
          <w:sz w:val="18"/>
          <w:szCs w:val="18"/>
        </w:rPr>
        <w:t xml:space="preserve"> </w:t>
      </w:r>
      <w:r w:rsidRPr="003B6E6B">
        <w:rPr>
          <w:rFonts w:ascii="Garamond" w:hAnsi="Garamond"/>
          <w:color w:val="000000" w:themeColor="text1"/>
          <w:sz w:val="18"/>
          <w:szCs w:val="18"/>
        </w:rPr>
        <w:t>Cambridge University Press</w:t>
      </w:r>
      <w:r w:rsidR="00410194">
        <w:rPr>
          <w:rFonts w:ascii="Garamond" w:hAnsi="Garamond"/>
          <w:color w:val="000000" w:themeColor="text1"/>
          <w:sz w:val="18"/>
          <w:szCs w:val="18"/>
        </w:rPr>
        <w:t> </w:t>
      </w:r>
      <w:r w:rsidRPr="003B6E6B">
        <w:rPr>
          <w:rFonts w:ascii="Garamond" w:hAnsi="Garamond"/>
          <w:color w:val="000000" w:themeColor="text1"/>
          <w:sz w:val="18"/>
          <w:szCs w:val="18"/>
        </w:rPr>
        <w:t>2014).</w:t>
      </w:r>
    </w:p>
  </w:footnote>
  <w:footnote w:id="99">
    <w:p w14:paraId="14CB0ACD" w14:textId="1BEB9A93" w:rsidR="00252A51" w:rsidRPr="003B6E6B" w:rsidRDefault="00252A51" w:rsidP="00975542">
      <w:pPr>
        <w:pStyle w:val="Notedebasdepage"/>
        <w:jc w:val="both"/>
        <w:rPr>
          <w:rFonts w:ascii="Garamond" w:hAnsi="Garamond"/>
          <w:color w:val="000000" w:themeColor="text1"/>
          <w:sz w:val="18"/>
          <w:szCs w:val="18"/>
        </w:rPr>
      </w:pPr>
      <w:r w:rsidRPr="003B6E6B">
        <w:rPr>
          <w:rStyle w:val="Appelnotedebasdep"/>
          <w:rFonts w:ascii="Garamond" w:hAnsi="Garamond"/>
          <w:color w:val="000000" w:themeColor="text1"/>
          <w:sz w:val="18"/>
          <w:szCs w:val="18"/>
        </w:rPr>
        <w:footnoteRef/>
      </w:r>
      <w:r w:rsidRPr="003B6E6B">
        <w:rPr>
          <w:rFonts w:ascii="Garamond" w:hAnsi="Garamond"/>
          <w:color w:val="000000" w:themeColor="text1"/>
          <w:sz w:val="18"/>
          <w:szCs w:val="18"/>
        </w:rPr>
        <w:t xml:space="preserve"> Presentation by Prof</w:t>
      </w:r>
      <w:r w:rsidR="00410194">
        <w:rPr>
          <w:rFonts w:ascii="Garamond" w:hAnsi="Garamond"/>
          <w:color w:val="000000" w:themeColor="text1"/>
          <w:sz w:val="18"/>
          <w:szCs w:val="18"/>
        </w:rPr>
        <w:t> </w:t>
      </w:r>
      <w:r w:rsidRPr="003B6E6B">
        <w:rPr>
          <w:rFonts w:ascii="Garamond" w:hAnsi="Garamond"/>
          <w:color w:val="000000" w:themeColor="text1"/>
          <w:sz w:val="18"/>
          <w:szCs w:val="18"/>
        </w:rPr>
        <w:t>John McMillan, Australian Information Commissioner, to the Australian National University, 2013 Public Law Weekend, Canberra, 15 November 2013</w:t>
      </w:r>
      <w:r w:rsidR="007630A6">
        <w:rPr>
          <w:rFonts w:ascii="Garamond" w:hAnsi="Garamond"/>
          <w:color w:val="000000" w:themeColor="text1"/>
          <w:sz w:val="18"/>
          <w:szCs w:val="18"/>
        </w:rPr>
        <w:t>: </w:t>
      </w:r>
      <w:r w:rsidRPr="003B6E6B">
        <w:rPr>
          <w:rFonts w:ascii="Garamond" w:hAnsi="Garamond"/>
          <w:color w:val="000000" w:themeColor="text1"/>
          <w:sz w:val="18"/>
          <w:szCs w:val="18"/>
        </w:rPr>
        <w:t>http://www.oaic.gov.au/news-and-events/speeches/foi-speeches/f</w:t>
      </w:r>
      <w:r w:rsidR="007630A6">
        <w:rPr>
          <w:rFonts w:ascii="Garamond" w:hAnsi="Garamond"/>
          <w:color w:val="000000" w:themeColor="text1"/>
          <w:sz w:val="18"/>
          <w:szCs w:val="18"/>
        </w:rPr>
        <w:t>reedom-of-information-2010-2013.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1EAA" w14:textId="3B3AAEBF" w:rsidR="00DA11F7" w:rsidRPr="003B6E6B" w:rsidRDefault="00AE6B0F" w:rsidP="003B6E6B">
    <w:pPr>
      <w:pStyle w:val="En-tte"/>
      <w:pBdr>
        <w:bottom w:val="single" w:sz="4" w:space="1" w:color="auto"/>
      </w:pBdr>
      <w:jc w:val="center"/>
      <w:rPr>
        <w:rFonts w:cs="Times New Roman"/>
        <w:sz w:val="16"/>
        <w:szCs w:val="16"/>
        <w:lang w:val="en-US"/>
      </w:rPr>
    </w:pPr>
    <w:r w:rsidRPr="003060DA">
      <w:rPr>
        <w:rFonts w:ascii="Garamond" w:hAnsi="Garamond"/>
        <w:b/>
        <w:i/>
        <w:noProof/>
        <w:sz w:val="16"/>
        <w:szCs w:val="16"/>
        <w:lang w:eastAsia="fr-FR"/>
      </w:rPr>
      <w:drawing>
        <wp:anchor distT="0" distB="0" distL="114300" distR="114300" simplePos="0" relativeHeight="251659264" behindDoc="1" locked="0" layoutInCell="1" allowOverlap="1" wp14:anchorId="71998566" wp14:editId="753D050E">
          <wp:simplePos x="0" y="0"/>
          <wp:positionH relativeFrom="column">
            <wp:posOffset>3594735</wp:posOffset>
          </wp:positionH>
          <wp:positionV relativeFrom="paragraph">
            <wp:posOffset>-678387</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6E6B" w:rsidRPr="00C43FBC">
      <w:rPr>
        <w:rFonts w:cs="Times New Roman"/>
        <w:sz w:val="16"/>
        <w:szCs w:val="16"/>
        <w:lang w:val="en-US"/>
      </w:rPr>
      <w:t xml:space="preserve"> </w:t>
    </w:r>
    <w:r w:rsidR="00252A51" w:rsidRPr="003F6A60">
      <w:rPr>
        <w:b/>
        <w:i/>
        <w:sz w:val="16"/>
        <w:szCs w:val="16"/>
        <w:lang w:val="en-US"/>
      </w:rPr>
      <w:t xml:space="preserve">Accountability or participation? Disentangling the rationales for FOI access to deliberative material </w:t>
    </w:r>
    <w:r w:rsidR="00DA11F7" w:rsidRPr="00252A51">
      <w:rPr>
        <w:rFonts w:cs="Times New Roman"/>
        <w:b/>
        <w:i/>
        <w:sz w:val="16"/>
        <w:szCs w:val="16"/>
        <w:lang w:val="en-US"/>
      </w:rPr>
      <w:t>–</w:t>
    </w:r>
    <w:r w:rsidR="00DA11F7" w:rsidRPr="00DA11F7">
      <w:rPr>
        <w:rFonts w:cs="Times New Roman"/>
        <w:b/>
        <w:i/>
        <w:sz w:val="16"/>
        <w:szCs w:val="16"/>
        <w:lang w:val="en-US"/>
      </w:rPr>
      <w:t xml:space="preserve"> </w:t>
    </w:r>
    <w:r w:rsidR="005A2B83">
      <w:rPr>
        <w:rFonts w:cs="Times New Roman"/>
        <w:b/>
        <w:i/>
        <w:sz w:val="16"/>
        <w:szCs w:val="16"/>
        <w:lang w:val="en-US"/>
      </w:rPr>
      <w:t>Bernard W. Bell</w:t>
    </w:r>
    <w:r w:rsidR="00DA11F7" w:rsidRPr="00DA11F7">
      <w:rPr>
        <w:rFonts w:cs="Times New Roman"/>
        <w:b/>
        <w:i/>
        <w:sz w:val="16"/>
        <w:szCs w:val="16"/>
        <w:lang w:val="en-US"/>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B04CA" w14:textId="77B292D8" w:rsidR="003B6E6B" w:rsidRDefault="003B6E6B">
    <w:pPr>
      <w:pStyle w:val="En-tte"/>
    </w:pPr>
    <w:r w:rsidRPr="003060DA">
      <w:rPr>
        <w:rFonts w:ascii="Garamond" w:hAnsi="Garamond"/>
        <w:b/>
        <w:i/>
        <w:noProof/>
        <w:sz w:val="16"/>
        <w:szCs w:val="16"/>
        <w:lang w:eastAsia="fr-FR"/>
      </w:rPr>
      <w:drawing>
        <wp:anchor distT="0" distB="0" distL="114300" distR="114300" simplePos="0" relativeHeight="251661312" behindDoc="1" locked="0" layoutInCell="1" allowOverlap="1" wp14:anchorId="18B87137" wp14:editId="38240784">
          <wp:simplePos x="0" y="0"/>
          <wp:positionH relativeFrom="column">
            <wp:posOffset>3518535</wp:posOffset>
          </wp:positionH>
          <wp:positionV relativeFrom="paragraph">
            <wp:posOffset>-678979</wp:posOffset>
          </wp:positionV>
          <wp:extent cx="2258199" cy="1593775"/>
          <wp:effectExtent l="0" t="0" r="2540" b="6985"/>
          <wp:wrapNone/>
          <wp:docPr id="2" name="Image 2"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77765"/>
    <w:multiLevelType w:val="hybridMultilevel"/>
    <w:tmpl w:val="009E18DC"/>
    <w:lvl w:ilvl="0" w:tplc="FE605E0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D52DBC"/>
    <w:multiLevelType w:val="hybridMultilevel"/>
    <w:tmpl w:val="1C66FBF6"/>
    <w:lvl w:ilvl="0" w:tplc="6FE4E62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6F2846"/>
    <w:multiLevelType w:val="hybridMultilevel"/>
    <w:tmpl w:val="3632943A"/>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17A54F94"/>
    <w:multiLevelType w:val="hybridMultilevel"/>
    <w:tmpl w:val="0504D2D8"/>
    <w:lvl w:ilvl="0" w:tplc="48A2E7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55F01"/>
    <w:multiLevelType w:val="hybridMultilevel"/>
    <w:tmpl w:val="5484BC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C482CD9"/>
    <w:multiLevelType w:val="hybridMultilevel"/>
    <w:tmpl w:val="B0F060FA"/>
    <w:lvl w:ilvl="0" w:tplc="4846394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C5B116B"/>
    <w:multiLevelType w:val="hybridMultilevel"/>
    <w:tmpl w:val="E03AC0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1B566B3"/>
    <w:multiLevelType w:val="hybridMultilevel"/>
    <w:tmpl w:val="C6740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3DD0954"/>
    <w:multiLevelType w:val="hybridMultilevel"/>
    <w:tmpl w:val="3F6EC9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D86292D"/>
    <w:multiLevelType w:val="hybridMultilevel"/>
    <w:tmpl w:val="1640F164"/>
    <w:lvl w:ilvl="0" w:tplc="040C0015">
      <w:start w:val="1"/>
      <w:numFmt w:val="upp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9187ADF"/>
    <w:multiLevelType w:val="hybridMultilevel"/>
    <w:tmpl w:val="3322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07508D"/>
    <w:multiLevelType w:val="hybridMultilevel"/>
    <w:tmpl w:val="39782DE0"/>
    <w:lvl w:ilvl="0" w:tplc="3F923CE2">
      <w:start w:val="1"/>
      <w:numFmt w:val="upperLetter"/>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1760173"/>
    <w:multiLevelType w:val="multilevel"/>
    <w:tmpl w:val="84DE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8D47B8"/>
    <w:multiLevelType w:val="hybridMultilevel"/>
    <w:tmpl w:val="FBDE205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8AF21DE"/>
    <w:multiLevelType w:val="hybridMultilevel"/>
    <w:tmpl w:val="F85A3CE6"/>
    <w:lvl w:ilvl="0" w:tplc="C3B46382">
      <w:start w:val="1"/>
      <w:numFmt w:val="decimal"/>
      <w:lvlText w:val="%1."/>
      <w:lvlJc w:val="left"/>
      <w:pPr>
        <w:ind w:left="2509" w:hanging="360"/>
      </w:pPr>
      <w:rPr>
        <w:rFonts w:hint="default"/>
        <w:b w:val="0"/>
        <w:i w:val="0"/>
      </w:rPr>
    </w:lvl>
    <w:lvl w:ilvl="1" w:tplc="040C0019" w:tentative="1">
      <w:start w:val="1"/>
      <w:numFmt w:val="lowerLetter"/>
      <w:lvlText w:val="%2."/>
      <w:lvlJc w:val="left"/>
      <w:pPr>
        <w:ind w:left="3229" w:hanging="360"/>
      </w:pPr>
    </w:lvl>
    <w:lvl w:ilvl="2" w:tplc="040C001B" w:tentative="1">
      <w:start w:val="1"/>
      <w:numFmt w:val="lowerRoman"/>
      <w:lvlText w:val="%3."/>
      <w:lvlJc w:val="right"/>
      <w:pPr>
        <w:ind w:left="3949" w:hanging="180"/>
      </w:pPr>
    </w:lvl>
    <w:lvl w:ilvl="3" w:tplc="040C000F" w:tentative="1">
      <w:start w:val="1"/>
      <w:numFmt w:val="decimal"/>
      <w:lvlText w:val="%4."/>
      <w:lvlJc w:val="left"/>
      <w:pPr>
        <w:ind w:left="4669" w:hanging="360"/>
      </w:pPr>
    </w:lvl>
    <w:lvl w:ilvl="4" w:tplc="040C0019" w:tentative="1">
      <w:start w:val="1"/>
      <w:numFmt w:val="lowerLetter"/>
      <w:lvlText w:val="%5."/>
      <w:lvlJc w:val="left"/>
      <w:pPr>
        <w:ind w:left="5389" w:hanging="360"/>
      </w:pPr>
    </w:lvl>
    <w:lvl w:ilvl="5" w:tplc="040C001B" w:tentative="1">
      <w:start w:val="1"/>
      <w:numFmt w:val="lowerRoman"/>
      <w:lvlText w:val="%6."/>
      <w:lvlJc w:val="right"/>
      <w:pPr>
        <w:ind w:left="6109" w:hanging="180"/>
      </w:pPr>
    </w:lvl>
    <w:lvl w:ilvl="6" w:tplc="040C000F" w:tentative="1">
      <w:start w:val="1"/>
      <w:numFmt w:val="decimal"/>
      <w:lvlText w:val="%7."/>
      <w:lvlJc w:val="left"/>
      <w:pPr>
        <w:ind w:left="6829" w:hanging="360"/>
      </w:pPr>
    </w:lvl>
    <w:lvl w:ilvl="7" w:tplc="040C0019" w:tentative="1">
      <w:start w:val="1"/>
      <w:numFmt w:val="lowerLetter"/>
      <w:lvlText w:val="%8."/>
      <w:lvlJc w:val="left"/>
      <w:pPr>
        <w:ind w:left="7549" w:hanging="360"/>
      </w:pPr>
    </w:lvl>
    <w:lvl w:ilvl="8" w:tplc="040C001B" w:tentative="1">
      <w:start w:val="1"/>
      <w:numFmt w:val="lowerRoman"/>
      <w:lvlText w:val="%9."/>
      <w:lvlJc w:val="right"/>
      <w:pPr>
        <w:ind w:left="8269" w:hanging="180"/>
      </w:pPr>
    </w:lvl>
  </w:abstractNum>
  <w:abstractNum w:abstractNumId="17">
    <w:nsid w:val="4C2038AF"/>
    <w:multiLevelType w:val="hybridMultilevel"/>
    <w:tmpl w:val="09D207A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C6D420D"/>
    <w:multiLevelType w:val="multilevel"/>
    <w:tmpl w:val="5E4E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CD6829"/>
    <w:multiLevelType w:val="hybridMultilevel"/>
    <w:tmpl w:val="5AC228A6"/>
    <w:lvl w:ilvl="0" w:tplc="6A7CB55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654141B"/>
    <w:multiLevelType w:val="hybridMultilevel"/>
    <w:tmpl w:val="3926D1F0"/>
    <w:lvl w:ilvl="0" w:tplc="87AEA860">
      <w:start w:val="1"/>
      <w:numFmt w:val="decimal"/>
      <w:pStyle w:val="Titre3"/>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nsid w:val="5F1D385E"/>
    <w:multiLevelType w:val="multilevel"/>
    <w:tmpl w:val="45C6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3DA7D77"/>
    <w:multiLevelType w:val="hybridMultilevel"/>
    <w:tmpl w:val="78806CE4"/>
    <w:lvl w:ilvl="0" w:tplc="FD52F5F2">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6075DB9"/>
    <w:multiLevelType w:val="hybridMultilevel"/>
    <w:tmpl w:val="AB8A5D0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68606A2B"/>
    <w:multiLevelType w:val="hybridMultilevel"/>
    <w:tmpl w:val="5EFEA6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B2B216F"/>
    <w:multiLevelType w:val="hybridMultilevel"/>
    <w:tmpl w:val="9FBA4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414717"/>
    <w:multiLevelType w:val="multilevel"/>
    <w:tmpl w:val="FD54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F2B0DB0"/>
    <w:multiLevelType w:val="hybridMultilevel"/>
    <w:tmpl w:val="E1064986"/>
    <w:lvl w:ilvl="0" w:tplc="F7147930">
      <w:start w:val="1"/>
      <w:numFmt w:val="upperRoman"/>
      <w:lvlText w:val="%1."/>
      <w:lvlJc w:val="left"/>
      <w:pPr>
        <w:ind w:left="1080" w:hanging="72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D630F75"/>
    <w:multiLevelType w:val="hybridMultilevel"/>
    <w:tmpl w:val="CAACB4EA"/>
    <w:lvl w:ilvl="0" w:tplc="E95E6190">
      <w:start w:val="1"/>
      <w:numFmt w:val="decimal"/>
      <w:lvlText w:val="%1."/>
      <w:lvlJc w:val="left"/>
      <w:pPr>
        <w:ind w:left="2484" w:hanging="360"/>
      </w:pPr>
      <w:rPr>
        <w:rFonts w:hint="default"/>
        <w:b w:val="0"/>
        <w:i w:val="0"/>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0">
    <w:nsid w:val="7F1056AC"/>
    <w:multiLevelType w:val="hybridMultilevel"/>
    <w:tmpl w:val="86DC28DC"/>
    <w:lvl w:ilvl="0" w:tplc="D2E66A82">
      <w:start w:val="2"/>
      <w:numFmt w:val="bullet"/>
      <w:lvlText w:val="-"/>
      <w:lvlJc w:val="left"/>
      <w:pPr>
        <w:ind w:left="1800" w:hanging="360"/>
      </w:pPr>
      <w:rPr>
        <w:rFonts w:ascii="Times" w:eastAsia="MS Mincho" w:hAnsi="Times" w:cs="Time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nsid w:val="7FAE18CF"/>
    <w:multiLevelType w:val="hybridMultilevel"/>
    <w:tmpl w:val="0076F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7"/>
  </w:num>
  <w:num w:numId="3">
    <w:abstractNumId w:val="2"/>
  </w:num>
  <w:num w:numId="4">
    <w:abstractNumId w:val="19"/>
  </w:num>
  <w:num w:numId="5">
    <w:abstractNumId w:val="3"/>
  </w:num>
  <w:num w:numId="6">
    <w:abstractNumId w:val="4"/>
  </w:num>
  <w:num w:numId="7">
    <w:abstractNumId w:val="4"/>
    <w:lvlOverride w:ilvl="0">
      <w:startOverride w:val="1"/>
    </w:lvlOverride>
  </w:num>
  <w:num w:numId="8">
    <w:abstractNumId w:val="6"/>
  </w:num>
  <w:num w:numId="9">
    <w:abstractNumId w:val="17"/>
  </w:num>
  <w:num w:numId="10">
    <w:abstractNumId w:val="15"/>
  </w:num>
  <w:num w:numId="11">
    <w:abstractNumId w:val="26"/>
  </w:num>
  <w:num w:numId="12">
    <w:abstractNumId w:val="1"/>
  </w:num>
  <w:num w:numId="13">
    <w:abstractNumId w:val="28"/>
  </w:num>
  <w:num w:numId="14">
    <w:abstractNumId w:val="0"/>
  </w:num>
  <w:num w:numId="15">
    <w:abstractNumId w:val="18"/>
  </w:num>
  <w:num w:numId="16">
    <w:abstractNumId w:val="14"/>
  </w:num>
  <w:num w:numId="17">
    <w:abstractNumId w:val="12"/>
  </w:num>
  <w:num w:numId="18">
    <w:abstractNumId w:val="8"/>
  </w:num>
  <w:num w:numId="19">
    <w:abstractNumId w:val="25"/>
  </w:num>
  <w:num w:numId="20">
    <w:abstractNumId w:val="21"/>
  </w:num>
  <w:num w:numId="21">
    <w:abstractNumId w:val="10"/>
  </w:num>
  <w:num w:numId="22">
    <w:abstractNumId w:val="23"/>
  </w:num>
  <w:num w:numId="23">
    <w:abstractNumId w:val="24"/>
  </w:num>
  <w:num w:numId="24">
    <w:abstractNumId w:val="22"/>
  </w:num>
  <w:num w:numId="25">
    <w:abstractNumId w:val="7"/>
  </w:num>
  <w:num w:numId="26">
    <w:abstractNumId w:val="5"/>
  </w:num>
  <w:num w:numId="27">
    <w:abstractNumId w:val="30"/>
  </w:num>
  <w:num w:numId="28">
    <w:abstractNumId w:val="31"/>
  </w:num>
  <w:num w:numId="29">
    <w:abstractNumId w:val="11"/>
  </w:num>
  <w:num w:numId="30">
    <w:abstractNumId w:val="16"/>
  </w:num>
  <w:num w:numId="31">
    <w:abstractNumId w:val="29"/>
  </w:num>
  <w:num w:numId="32">
    <w:abstractNumId w:val="13"/>
  </w:num>
  <w:num w:numId="33">
    <w:abstractNumId w:val="13"/>
    <w:lvlOverride w:ilvl="0">
      <w:startOverride w:val="1"/>
    </w:lvlOverride>
  </w:num>
  <w:num w:numId="34">
    <w:abstractNumId w:val="20"/>
  </w:num>
  <w:num w:numId="35">
    <w:abstractNumId w:val="13"/>
    <w:lvlOverride w:ilvl="0">
      <w:startOverride w:val="1"/>
    </w:lvlOverride>
  </w:num>
  <w:num w:numId="36">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40090"/>
    <w:rsid w:val="001143DC"/>
    <w:rsid w:val="0013354C"/>
    <w:rsid w:val="00167CE5"/>
    <w:rsid w:val="00191BD3"/>
    <w:rsid w:val="001B3445"/>
    <w:rsid w:val="001C4466"/>
    <w:rsid w:val="001D2495"/>
    <w:rsid w:val="001F4E88"/>
    <w:rsid w:val="00212218"/>
    <w:rsid w:val="00215A20"/>
    <w:rsid w:val="00252A51"/>
    <w:rsid w:val="00385338"/>
    <w:rsid w:val="00397D95"/>
    <w:rsid w:val="003B6E6B"/>
    <w:rsid w:val="003F6A60"/>
    <w:rsid w:val="00410194"/>
    <w:rsid w:val="004A7B02"/>
    <w:rsid w:val="004B0590"/>
    <w:rsid w:val="004D6E64"/>
    <w:rsid w:val="00544CD8"/>
    <w:rsid w:val="00570C73"/>
    <w:rsid w:val="005A2B83"/>
    <w:rsid w:val="00690A68"/>
    <w:rsid w:val="007630A6"/>
    <w:rsid w:val="007C456C"/>
    <w:rsid w:val="007D7373"/>
    <w:rsid w:val="00892D07"/>
    <w:rsid w:val="00975542"/>
    <w:rsid w:val="009A13B4"/>
    <w:rsid w:val="009C600B"/>
    <w:rsid w:val="00A13AC8"/>
    <w:rsid w:val="00A37FC2"/>
    <w:rsid w:val="00AA0D17"/>
    <w:rsid w:val="00AA7215"/>
    <w:rsid w:val="00AE1A8C"/>
    <w:rsid w:val="00AE6B0F"/>
    <w:rsid w:val="00B3419E"/>
    <w:rsid w:val="00BA5B40"/>
    <w:rsid w:val="00C43FBC"/>
    <w:rsid w:val="00CA616A"/>
    <w:rsid w:val="00D2717A"/>
    <w:rsid w:val="00D62596"/>
    <w:rsid w:val="00DA11F7"/>
    <w:rsid w:val="00E00503"/>
    <w:rsid w:val="00EA6F2E"/>
    <w:rsid w:val="00EE2E1E"/>
    <w:rsid w:val="00F86A83"/>
    <w:rsid w:val="00F9227C"/>
    <w:rsid w:val="00FB61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CD8"/>
    <w:pPr>
      <w:jc w:val="both"/>
    </w:pPr>
    <w:rPr>
      <w:rFonts w:ascii="Times New Roman" w:hAnsi="Times New Roman"/>
    </w:rPr>
  </w:style>
  <w:style w:type="paragraph" w:styleId="Titre1">
    <w:name w:val="heading 1"/>
    <w:basedOn w:val="Normal"/>
    <w:next w:val="Normal"/>
    <w:link w:val="Titre1Car"/>
    <w:uiPriority w:val="9"/>
    <w:qFormat/>
    <w:rsid w:val="00212218"/>
    <w:pPr>
      <w:keepNext/>
      <w:keepLines/>
      <w:spacing w:after="240"/>
      <w:outlineLvl w:val="0"/>
    </w:pPr>
    <w:rPr>
      <w:rFonts w:ascii="Garamond" w:eastAsiaTheme="majorEastAsia" w:hAnsi="Garamond" w:cstheme="majorBidi"/>
      <w:b/>
      <w:smallCaps/>
      <w:color w:val="003294"/>
    </w:rPr>
  </w:style>
  <w:style w:type="paragraph" w:styleId="Titre2">
    <w:name w:val="heading 2"/>
    <w:basedOn w:val="Normal"/>
    <w:next w:val="Normal"/>
    <w:link w:val="Titre2Car"/>
    <w:uiPriority w:val="9"/>
    <w:unhideWhenUsed/>
    <w:qFormat/>
    <w:rsid w:val="00212218"/>
    <w:pPr>
      <w:keepNext/>
      <w:keepLines/>
      <w:numPr>
        <w:numId w:val="32"/>
      </w:numPr>
      <w:spacing w:before="40" w:after="240"/>
      <w:outlineLvl w:val="1"/>
    </w:pPr>
    <w:rPr>
      <w:rFonts w:ascii="Garamond" w:eastAsiaTheme="majorEastAsia" w:hAnsi="Garamond" w:cstheme="majorBidi"/>
      <w:b/>
      <w:color w:val="003294"/>
      <w:szCs w:val="26"/>
    </w:rPr>
  </w:style>
  <w:style w:type="paragraph" w:styleId="Titre3">
    <w:name w:val="heading 3"/>
    <w:basedOn w:val="Normal"/>
    <w:next w:val="Normal"/>
    <w:link w:val="Titre3Car"/>
    <w:uiPriority w:val="9"/>
    <w:unhideWhenUsed/>
    <w:qFormat/>
    <w:rsid w:val="00212218"/>
    <w:pPr>
      <w:keepNext/>
      <w:keepLines/>
      <w:numPr>
        <w:numId w:val="34"/>
      </w:numPr>
      <w:spacing w:after="240"/>
      <w:ind w:left="1066" w:hanging="357"/>
      <w:outlineLvl w:val="2"/>
    </w:pPr>
    <w:rPr>
      <w:rFonts w:ascii="Garamond" w:eastAsiaTheme="majorEastAsia" w:hAnsi="Garamond" w:cstheme="majorBidi"/>
      <w:b/>
      <w:i/>
      <w:color w:val="003294"/>
    </w:rPr>
  </w:style>
  <w:style w:type="paragraph" w:styleId="Titre4">
    <w:name w:val="heading 4"/>
    <w:basedOn w:val="Normal"/>
    <w:next w:val="Normal"/>
    <w:link w:val="Titre4Car"/>
    <w:uiPriority w:val="9"/>
    <w:unhideWhenUsed/>
    <w:qFormat/>
    <w:rsid w:val="00252A51"/>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252A51"/>
    <w:pPr>
      <w:keepNext/>
      <w:keepLines/>
      <w:spacing w:before="40"/>
      <w:outlineLvl w:val="4"/>
    </w:pPr>
    <w:rPr>
      <w:rFonts w:asciiTheme="majorHAnsi" w:eastAsiaTheme="majorEastAsia" w:hAnsiTheme="majorHAnsi" w:cstheme="majorBidi"/>
      <w:color w:val="2E74B5" w:themeColor="accent1" w:themeShade="BF"/>
    </w:rPr>
  </w:style>
  <w:style w:type="paragraph" w:styleId="Titre8">
    <w:name w:val="heading 8"/>
    <w:basedOn w:val="Normal"/>
    <w:next w:val="Normal"/>
    <w:link w:val="Titre8Car"/>
    <w:uiPriority w:val="9"/>
    <w:unhideWhenUsed/>
    <w:qFormat/>
    <w:rsid w:val="00252A51"/>
    <w:pPr>
      <w:keepNext/>
      <w:keepLines/>
      <w:spacing w:before="200" w:line="276" w:lineRule="auto"/>
      <w:jc w:val="left"/>
      <w:outlineLvl w:val="7"/>
    </w:pPr>
    <w:rPr>
      <w:rFonts w:asciiTheme="majorHAnsi" w:eastAsiaTheme="majorEastAsia" w:hAnsiTheme="majorHAnsi" w:cstheme="majorBidi"/>
      <w:color w:val="404040" w:themeColor="text1" w:themeTint="BF"/>
      <w:sz w:val="20"/>
      <w:szCs w:val="20"/>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3FBC"/>
    <w:pPr>
      <w:tabs>
        <w:tab w:val="center" w:pos="4536"/>
        <w:tab w:val="right" w:pos="9072"/>
      </w:tabs>
    </w:pPr>
  </w:style>
  <w:style w:type="character" w:customStyle="1" w:styleId="En-tteCar">
    <w:name w:val="En-tête Car"/>
    <w:basedOn w:val="Policepardfaut"/>
    <w:link w:val="En-tte"/>
    <w:uiPriority w:val="99"/>
    <w:rsid w:val="00C43FBC"/>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212218"/>
    <w:rPr>
      <w:rFonts w:ascii="Garamond" w:eastAsiaTheme="majorEastAsia" w:hAnsi="Garamond" w:cstheme="majorBidi"/>
      <w:b/>
      <w:smallCaps/>
      <w:color w:val="003294"/>
    </w:rPr>
  </w:style>
  <w:style w:type="character" w:customStyle="1" w:styleId="Titre2Car">
    <w:name w:val="Titre 2 Car"/>
    <w:basedOn w:val="Policepardfaut"/>
    <w:link w:val="Titre2"/>
    <w:uiPriority w:val="9"/>
    <w:rsid w:val="00212218"/>
    <w:rPr>
      <w:rFonts w:ascii="Garamond" w:eastAsiaTheme="majorEastAsia" w:hAnsi="Garamond" w:cstheme="majorBidi"/>
      <w:b/>
      <w:color w:val="003294"/>
      <w:szCs w:val="26"/>
    </w:rPr>
  </w:style>
  <w:style w:type="paragraph" w:styleId="Explorateurdedocuments">
    <w:name w:val="Document Map"/>
    <w:basedOn w:val="Normal"/>
    <w:link w:val="ExplorateurdedocumentsCar"/>
    <w:uiPriority w:val="99"/>
    <w:semiHidden/>
    <w:unhideWhenUsed/>
    <w:rsid w:val="00DA11F7"/>
    <w:rPr>
      <w:rFonts w:cs="Times New Roman"/>
    </w:rPr>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aliases w:val="ft"/>
    <w:basedOn w:val="Normal"/>
    <w:link w:val="NotedebasdepageCar"/>
    <w:autoRedefine/>
    <w:unhideWhenUsed/>
    <w:qFormat/>
    <w:rsid w:val="001B3445"/>
    <w:pPr>
      <w:jc w:val="left"/>
    </w:pPr>
    <w:rPr>
      <w:rFonts w:eastAsia="Cambria" w:cs="Times New Roman"/>
      <w:sz w:val="20"/>
      <w:szCs w:val="20"/>
      <w:lang w:val="en-US"/>
    </w:rPr>
  </w:style>
  <w:style w:type="character" w:customStyle="1" w:styleId="NotedebasdepageCar">
    <w:name w:val="Note de bas de page Car"/>
    <w:aliases w:val="ft Car"/>
    <w:basedOn w:val="Policepardfaut"/>
    <w:link w:val="Notedebasdepage"/>
    <w:rsid w:val="001B3445"/>
    <w:rPr>
      <w:rFonts w:ascii="Times New Roman" w:eastAsia="Cambria" w:hAnsi="Times New Roman" w:cs="Times New Roman"/>
      <w:sz w:val="20"/>
      <w:szCs w:val="20"/>
      <w:lang w:val="en-US"/>
    </w:rPr>
  </w:style>
  <w:style w:type="character" w:styleId="Appelnotedebasdep">
    <w:name w:val="footnote reference"/>
    <w:aliases w:val="footnote ref,Footnotes refss,Footnote,16 Point,Superscript 6 Point"/>
    <w:basedOn w:val="Policepardfaut"/>
    <w:unhideWhenUsed/>
    <w:rsid w:val="004B0590"/>
    <w:rPr>
      <w:vertAlign w:val="superscript"/>
    </w:rPr>
  </w:style>
  <w:style w:type="character" w:styleId="lev">
    <w:name w:val="Strong"/>
    <w:basedOn w:val="Policepardfaut"/>
    <w:uiPriority w:val="22"/>
    <w:qFormat/>
    <w:rsid w:val="004B0590"/>
    <w:rPr>
      <w:b/>
      <w:bCs/>
    </w:rPr>
  </w:style>
  <w:style w:type="character" w:styleId="Emphase">
    <w:name w:val="Emphasis"/>
    <w:basedOn w:val="Policepardfaut"/>
    <w:uiPriority w:val="20"/>
    <w:qFormat/>
    <w:rsid w:val="004B0590"/>
    <w:rPr>
      <w:i/>
      <w:iCs/>
    </w:rPr>
  </w:style>
  <w:style w:type="paragraph" w:styleId="Pardeliste">
    <w:name w:val="List Paragraph"/>
    <w:basedOn w:val="Normal"/>
    <w:uiPriority w:val="34"/>
    <w:qFormat/>
    <w:rsid w:val="004B0590"/>
    <w:pPr>
      <w:ind w:left="720"/>
      <w:contextualSpacing/>
    </w:pPr>
  </w:style>
  <w:style w:type="paragraph" w:styleId="Textebrut">
    <w:name w:val="Plain Text"/>
    <w:basedOn w:val="Normal"/>
    <w:link w:val="TextebrutCar"/>
    <w:uiPriority w:val="99"/>
    <w:unhideWhenUsed/>
    <w:rsid w:val="00385338"/>
    <w:pPr>
      <w:jc w:val="left"/>
    </w:pPr>
    <w:rPr>
      <w:rFonts w:ascii="Calibri" w:hAnsi="Calibri" w:cs="Consolas"/>
      <w:sz w:val="22"/>
      <w:szCs w:val="21"/>
      <w:lang w:val="en-US"/>
    </w:rPr>
  </w:style>
  <w:style w:type="character" w:customStyle="1" w:styleId="TextebrutCar">
    <w:name w:val="Texte brut Car"/>
    <w:basedOn w:val="Policepardfaut"/>
    <w:link w:val="Textebrut"/>
    <w:uiPriority w:val="99"/>
    <w:rsid w:val="00385338"/>
    <w:rPr>
      <w:rFonts w:ascii="Calibri" w:hAnsi="Calibri" w:cs="Consolas"/>
      <w:sz w:val="22"/>
      <w:szCs w:val="21"/>
      <w:lang w:val="en-US"/>
    </w:rPr>
  </w:style>
  <w:style w:type="paragraph" w:styleId="Textedebulles">
    <w:name w:val="Balloon Text"/>
    <w:basedOn w:val="Normal"/>
    <w:link w:val="TextedebullesCar"/>
    <w:uiPriority w:val="99"/>
    <w:semiHidden/>
    <w:unhideWhenUsed/>
    <w:rsid w:val="005A2B83"/>
    <w:pPr>
      <w:jc w:val="left"/>
    </w:pPr>
    <w:rPr>
      <w:rFonts w:ascii="Segoe UI" w:hAnsi="Segoe UI" w:cs="Segoe UI"/>
      <w:sz w:val="18"/>
      <w:szCs w:val="18"/>
      <w:lang w:val="en-US"/>
    </w:rPr>
  </w:style>
  <w:style w:type="character" w:customStyle="1" w:styleId="TextedebullesCar">
    <w:name w:val="Texte de bulles Car"/>
    <w:basedOn w:val="Policepardfaut"/>
    <w:link w:val="Textedebulles"/>
    <w:uiPriority w:val="99"/>
    <w:semiHidden/>
    <w:rsid w:val="005A2B83"/>
    <w:rPr>
      <w:rFonts w:ascii="Segoe UI" w:hAnsi="Segoe UI" w:cs="Segoe UI"/>
      <w:sz w:val="18"/>
      <w:szCs w:val="18"/>
      <w:lang w:val="en-US"/>
    </w:rPr>
  </w:style>
  <w:style w:type="character" w:customStyle="1" w:styleId="apple-converted-space">
    <w:name w:val="apple-converted-space"/>
    <w:basedOn w:val="Policepardfaut"/>
    <w:rsid w:val="005A2B83"/>
  </w:style>
  <w:style w:type="character" w:styleId="Marquedecommentaire">
    <w:name w:val="annotation reference"/>
    <w:basedOn w:val="Policepardfaut"/>
    <w:unhideWhenUsed/>
    <w:rsid w:val="005A2B83"/>
    <w:rPr>
      <w:sz w:val="16"/>
      <w:szCs w:val="16"/>
    </w:rPr>
  </w:style>
  <w:style w:type="paragraph" w:styleId="Commentaire">
    <w:name w:val="annotation text"/>
    <w:basedOn w:val="Normal"/>
    <w:link w:val="CommentaireCar"/>
    <w:unhideWhenUsed/>
    <w:rsid w:val="005A2B83"/>
    <w:pPr>
      <w:spacing w:after="160"/>
      <w:jc w:val="left"/>
    </w:pPr>
    <w:rPr>
      <w:rFonts w:asciiTheme="minorHAnsi" w:hAnsiTheme="minorHAnsi"/>
      <w:sz w:val="20"/>
      <w:szCs w:val="20"/>
      <w:lang w:val="en-US"/>
    </w:rPr>
  </w:style>
  <w:style w:type="character" w:customStyle="1" w:styleId="CommentaireCar">
    <w:name w:val="Commentaire Car"/>
    <w:basedOn w:val="Policepardfaut"/>
    <w:link w:val="Commentaire"/>
    <w:rsid w:val="005A2B83"/>
    <w:rPr>
      <w:sz w:val="20"/>
      <w:szCs w:val="20"/>
      <w:lang w:val="en-US"/>
    </w:rPr>
  </w:style>
  <w:style w:type="paragraph" w:styleId="Objetducommentaire">
    <w:name w:val="annotation subject"/>
    <w:basedOn w:val="Commentaire"/>
    <w:next w:val="Commentaire"/>
    <w:link w:val="ObjetducommentaireCar"/>
    <w:uiPriority w:val="99"/>
    <w:semiHidden/>
    <w:unhideWhenUsed/>
    <w:rsid w:val="005A2B83"/>
    <w:rPr>
      <w:b/>
      <w:bCs/>
    </w:rPr>
  </w:style>
  <w:style w:type="character" w:customStyle="1" w:styleId="ObjetducommentaireCar">
    <w:name w:val="Objet du commentaire Car"/>
    <w:basedOn w:val="CommentaireCar"/>
    <w:link w:val="Objetducommentaire"/>
    <w:uiPriority w:val="99"/>
    <w:semiHidden/>
    <w:rsid w:val="005A2B83"/>
    <w:rPr>
      <w:b/>
      <w:bCs/>
      <w:sz w:val="20"/>
      <w:szCs w:val="20"/>
      <w:lang w:val="en-US"/>
    </w:rPr>
  </w:style>
  <w:style w:type="character" w:customStyle="1" w:styleId="Titre3Car">
    <w:name w:val="Titre 3 Car"/>
    <w:basedOn w:val="Policepardfaut"/>
    <w:link w:val="Titre3"/>
    <w:uiPriority w:val="9"/>
    <w:rsid w:val="00212218"/>
    <w:rPr>
      <w:rFonts w:ascii="Garamond" w:eastAsiaTheme="majorEastAsia" w:hAnsi="Garamond" w:cstheme="majorBidi"/>
      <w:b/>
      <w:i/>
      <w:color w:val="003294"/>
    </w:rPr>
  </w:style>
  <w:style w:type="character" w:customStyle="1" w:styleId="Titre4Car">
    <w:name w:val="Titre 4 Car"/>
    <w:basedOn w:val="Policepardfaut"/>
    <w:link w:val="Titre4"/>
    <w:uiPriority w:val="9"/>
    <w:rsid w:val="00252A51"/>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252A51"/>
    <w:rPr>
      <w:rFonts w:asciiTheme="majorHAnsi" w:eastAsiaTheme="majorEastAsia" w:hAnsiTheme="majorHAnsi" w:cstheme="majorBidi"/>
      <w:color w:val="2E74B5" w:themeColor="accent1" w:themeShade="BF"/>
    </w:rPr>
  </w:style>
  <w:style w:type="character" w:customStyle="1" w:styleId="Titre8Car">
    <w:name w:val="Titre 8 Car"/>
    <w:basedOn w:val="Policepardfaut"/>
    <w:link w:val="Titre8"/>
    <w:uiPriority w:val="9"/>
    <w:rsid w:val="00252A51"/>
    <w:rPr>
      <w:rFonts w:asciiTheme="majorHAnsi" w:eastAsiaTheme="majorEastAsia" w:hAnsiTheme="majorHAnsi" w:cstheme="majorBidi"/>
      <w:color w:val="404040" w:themeColor="text1" w:themeTint="BF"/>
      <w:sz w:val="20"/>
      <w:szCs w:val="20"/>
      <w:lang w:val="en-AU"/>
    </w:rPr>
  </w:style>
  <w:style w:type="paragraph" w:customStyle="1" w:styleId="footnote">
    <w:name w:val="footnote"/>
    <w:basedOn w:val="Pardeliste"/>
    <w:qFormat/>
    <w:rsid w:val="00252A51"/>
    <w:pPr>
      <w:spacing w:before="60" w:line="276" w:lineRule="auto"/>
      <w:ind w:left="0"/>
      <w:contextualSpacing w:val="0"/>
      <w:jc w:val="left"/>
    </w:pPr>
    <w:rPr>
      <w:rFonts w:ascii="Calibri" w:eastAsia="Calibri" w:hAnsi="Calibri" w:cs="Calibri"/>
      <w:bCs/>
      <w:color w:val="000000"/>
      <w:sz w:val="18"/>
      <w:szCs w:val="22"/>
      <w:lang w:val="en-AU"/>
    </w:rPr>
  </w:style>
  <w:style w:type="paragraph" w:styleId="Lgende">
    <w:name w:val="caption"/>
    <w:basedOn w:val="Normal"/>
    <w:next w:val="Normal"/>
    <w:uiPriority w:val="35"/>
    <w:unhideWhenUsed/>
    <w:qFormat/>
    <w:rsid w:val="00252A51"/>
    <w:pPr>
      <w:spacing w:before="120" w:after="200" w:line="360" w:lineRule="auto"/>
    </w:pPr>
    <w:rPr>
      <w:rFonts w:eastAsia="Times New Roman" w:cs="Times New Roman"/>
      <w:b/>
      <w:bCs/>
      <w:color w:val="5B9BD5" w:themeColor="accent1"/>
      <w:sz w:val="18"/>
      <w:szCs w:val="18"/>
      <w:lang w:val="en-GB"/>
    </w:rPr>
  </w:style>
  <w:style w:type="paragraph" w:styleId="En-ttedetabledesmatires">
    <w:name w:val="TOC Heading"/>
    <w:basedOn w:val="Titre1"/>
    <w:next w:val="Normal"/>
    <w:uiPriority w:val="39"/>
    <w:unhideWhenUsed/>
    <w:qFormat/>
    <w:rsid w:val="00252A51"/>
    <w:pPr>
      <w:spacing w:before="480" w:line="276" w:lineRule="auto"/>
      <w:jc w:val="center"/>
      <w:outlineLvl w:val="9"/>
    </w:pPr>
    <w:rPr>
      <w:rFonts w:asciiTheme="majorHAnsi" w:hAnsiTheme="majorHAnsi"/>
      <w:bCs/>
      <w:szCs w:val="28"/>
      <w:lang w:val="en-US"/>
    </w:rPr>
  </w:style>
  <w:style w:type="paragraph" w:customStyle="1" w:styleId="NormalMULR">
    <w:name w:val="Normal MULR"/>
    <w:basedOn w:val="Normal"/>
    <w:qFormat/>
    <w:rsid w:val="00252A51"/>
    <w:pPr>
      <w:spacing w:before="160" w:after="200" w:line="360" w:lineRule="auto"/>
      <w:ind w:left="340" w:hanging="340"/>
    </w:pPr>
    <w:rPr>
      <w:rFonts w:eastAsia="Times New Roman" w:cs="Arial"/>
      <w:color w:val="000000" w:themeColor="text1"/>
      <w:lang w:val="en-AU" w:eastAsia="en-AU"/>
    </w:rPr>
  </w:style>
  <w:style w:type="paragraph" w:customStyle="1" w:styleId="Default">
    <w:name w:val="Default"/>
    <w:rsid w:val="00252A51"/>
    <w:pPr>
      <w:autoSpaceDE w:val="0"/>
      <w:autoSpaceDN w:val="0"/>
      <w:adjustRightInd w:val="0"/>
    </w:pPr>
    <w:rPr>
      <w:rFonts w:ascii="Times New Roman" w:hAnsi="Times New Roman" w:cs="Times New Roman"/>
      <w:color w:val="000000"/>
      <w:lang w:val="en-AU"/>
    </w:rPr>
  </w:style>
  <w:style w:type="character" w:customStyle="1" w:styleId="exldetailsdisplayval">
    <w:name w:val="exldetailsdisplayval"/>
    <w:basedOn w:val="Policepardfaut"/>
    <w:rsid w:val="00252A51"/>
  </w:style>
  <w:style w:type="character" w:customStyle="1" w:styleId="searchword1">
    <w:name w:val="searchword1"/>
    <w:basedOn w:val="Policepardfaut"/>
    <w:rsid w:val="00252A51"/>
    <w:rPr>
      <w:shd w:val="clear" w:color="auto" w:fill="FFFBC3"/>
    </w:rPr>
  </w:style>
  <w:style w:type="character" w:customStyle="1" w:styleId="exlavailabilitylibraryname1">
    <w:name w:val="exlavailabilitylibraryname1"/>
    <w:basedOn w:val="Policepardfaut"/>
    <w:rsid w:val="00252A51"/>
    <w:rPr>
      <w:b w:val="0"/>
      <w:bCs w:val="0"/>
      <w:color w:val="000000"/>
    </w:rPr>
  </w:style>
  <w:style w:type="character" w:customStyle="1" w:styleId="exlavailabilitycollectionname1">
    <w:name w:val="exlavailabilitycollectionname1"/>
    <w:basedOn w:val="Policepardfaut"/>
    <w:rsid w:val="00252A51"/>
    <w:rPr>
      <w:b w:val="0"/>
      <w:bCs w:val="0"/>
      <w:color w:val="000000"/>
    </w:rPr>
  </w:style>
  <w:style w:type="character" w:customStyle="1" w:styleId="exlavailabilitycallnumber1">
    <w:name w:val="exlavailabilitycallnumber1"/>
    <w:basedOn w:val="Policepardfaut"/>
    <w:rsid w:val="00252A51"/>
    <w:rPr>
      <w:b w:val="0"/>
      <w:bCs w:val="0"/>
      <w:color w:val="000000"/>
    </w:rPr>
  </w:style>
  <w:style w:type="paragraph" w:customStyle="1" w:styleId="exlresultavailability">
    <w:name w:val="exlresultavailability"/>
    <w:basedOn w:val="Normal"/>
    <w:rsid w:val="00252A51"/>
    <w:pPr>
      <w:spacing w:before="100" w:beforeAutospacing="1" w:after="100" w:afterAutospacing="1" w:line="360" w:lineRule="auto"/>
      <w:jc w:val="left"/>
    </w:pPr>
    <w:rPr>
      <w:rFonts w:eastAsia="Times New Roman" w:cs="Times New Roman"/>
      <w:lang w:val="en-AU" w:eastAsia="en-AU"/>
    </w:rPr>
  </w:style>
  <w:style w:type="character" w:customStyle="1" w:styleId="rubric">
    <w:name w:val="rubric"/>
    <w:basedOn w:val="Policepardfaut"/>
    <w:rsid w:val="00252A51"/>
  </w:style>
  <w:style w:type="character" w:customStyle="1" w:styleId="definition">
    <w:name w:val="definition"/>
    <w:basedOn w:val="Policepardfaut"/>
    <w:rsid w:val="00252A51"/>
  </w:style>
  <w:style w:type="character" w:customStyle="1" w:styleId="Title1">
    <w:name w:val="Title1"/>
    <w:basedOn w:val="Policepardfaut"/>
    <w:rsid w:val="00252A51"/>
  </w:style>
  <w:style w:type="character" w:customStyle="1" w:styleId="author">
    <w:name w:val="author"/>
    <w:basedOn w:val="Policepardfaut"/>
    <w:rsid w:val="00252A51"/>
  </w:style>
  <w:style w:type="character" w:customStyle="1" w:styleId="citation-publication">
    <w:name w:val="citation-publication"/>
    <w:basedOn w:val="Policepardfaut"/>
    <w:rsid w:val="00252A51"/>
  </w:style>
  <w:style w:type="character" w:customStyle="1" w:styleId="citation-volnumber">
    <w:name w:val="citation-volnumber"/>
    <w:basedOn w:val="Policepardfaut"/>
    <w:rsid w:val="00252A51"/>
  </w:style>
  <w:style w:type="character" w:customStyle="1" w:styleId="citation-pubdate">
    <w:name w:val="citation-pubdate"/>
    <w:basedOn w:val="Policepardfaut"/>
    <w:rsid w:val="00252A51"/>
  </w:style>
  <w:style w:type="character" w:customStyle="1" w:styleId="citation-page">
    <w:name w:val="citation-page"/>
    <w:basedOn w:val="Policepardfaut"/>
    <w:rsid w:val="00252A51"/>
  </w:style>
  <w:style w:type="character" w:styleId="CitationHTML">
    <w:name w:val="HTML Cite"/>
    <w:basedOn w:val="Policepardfaut"/>
    <w:uiPriority w:val="99"/>
    <w:semiHidden/>
    <w:unhideWhenUsed/>
    <w:rsid w:val="00252A51"/>
    <w:rPr>
      <w:i/>
      <w:iCs/>
    </w:rPr>
  </w:style>
  <w:style w:type="paragraph" w:styleId="Normalweb">
    <w:name w:val="Normal (Web)"/>
    <w:basedOn w:val="Normal"/>
    <w:uiPriority w:val="99"/>
    <w:unhideWhenUsed/>
    <w:rsid w:val="00252A51"/>
    <w:pPr>
      <w:spacing w:before="100" w:beforeAutospacing="1" w:after="100" w:afterAutospacing="1" w:line="360" w:lineRule="auto"/>
      <w:jc w:val="left"/>
    </w:pPr>
    <w:rPr>
      <w:rFonts w:ascii="Times" w:eastAsia="MS Mincho" w:hAnsi="Times" w:cs="Times New Roman"/>
      <w:sz w:val="20"/>
      <w:szCs w:val="20"/>
      <w:lang w:val="en-AU"/>
    </w:rPr>
  </w:style>
  <w:style w:type="paragraph" w:customStyle="1" w:styleId="Paragraph">
    <w:name w:val="Paragraph"/>
    <w:basedOn w:val="Normal"/>
    <w:next w:val="Normal"/>
    <w:link w:val="ParagraphChar"/>
    <w:uiPriority w:val="99"/>
    <w:rsid w:val="00252A51"/>
    <w:pPr>
      <w:numPr>
        <w:ilvl w:val="12"/>
      </w:numPr>
      <w:spacing w:before="240" w:line="360" w:lineRule="auto"/>
      <w:jc w:val="left"/>
    </w:pPr>
    <w:rPr>
      <w:rFonts w:eastAsia="Times New Roman" w:cs="Times New Roman"/>
      <w:szCs w:val="20"/>
      <w:lang w:val="en-AU" w:eastAsia="en-AU"/>
    </w:rPr>
  </w:style>
  <w:style w:type="character" w:customStyle="1" w:styleId="ParagraphChar">
    <w:name w:val="Paragraph Char"/>
    <w:link w:val="Paragraph"/>
    <w:uiPriority w:val="99"/>
    <w:rsid w:val="00252A51"/>
    <w:rPr>
      <w:rFonts w:ascii="Times New Roman" w:eastAsia="Times New Roman" w:hAnsi="Times New Roman" w:cs="Times New Roman"/>
      <w:szCs w:val="20"/>
      <w:lang w:val="en-AU" w:eastAsia="en-AU"/>
    </w:rPr>
  </w:style>
  <w:style w:type="character" w:customStyle="1" w:styleId="a-size-large1">
    <w:name w:val="a-size-large1"/>
    <w:basedOn w:val="Policepardfaut"/>
    <w:rsid w:val="00252A51"/>
    <w:rPr>
      <w:rFonts w:ascii="Arial" w:hAnsi="Arial" w:cs="Arial" w:hint="default"/>
    </w:rPr>
  </w:style>
  <w:style w:type="paragraph" w:customStyle="1" w:styleId="Figure">
    <w:name w:val="Figure"/>
    <w:basedOn w:val="Normal"/>
    <w:rsid w:val="00252A51"/>
    <w:pPr>
      <w:spacing w:before="120" w:after="240" w:line="360" w:lineRule="auto"/>
      <w:jc w:val="center"/>
    </w:pPr>
    <w:rPr>
      <w:rFonts w:ascii="Helvetica" w:eastAsia="Times" w:hAnsi="Helvetica" w:cs="Times New Roman"/>
      <w:i/>
      <w:sz w:val="20"/>
      <w:szCs w:val="20"/>
      <w:lang w:val="en-AU" w:eastAsia="en-AU"/>
    </w:rPr>
  </w:style>
  <w:style w:type="paragraph" w:customStyle="1" w:styleId="Normalafterquote">
    <w:name w:val="Normal after quote"/>
    <w:basedOn w:val="Normal"/>
    <w:rsid w:val="00252A51"/>
    <w:pPr>
      <w:spacing w:before="240" w:after="240" w:line="480" w:lineRule="auto"/>
    </w:pPr>
    <w:rPr>
      <w:rFonts w:ascii="Times" w:eastAsia="Times" w:hAnsi="Times" w:cs="Times New Roman"/>
      <w:szCs w:val="20"/>
      <w:lang w:val="en-AU" w:eastAsia="en-AU"/>
    </w:rPr>
  </w:style>
  <w:style w:type="paragraph" w:styleId="Retraitcorpsdetexte2">
    <w:name w:val="Body Text Indent 2"/>
    <w:basedOn w:val="Normal"/>
    <w:link w:val="Retraitcorpsdetexte2Car"/>
    <w:semiHidden/>
    <w:rsid w:val="00252A51"/>
    <w:pPr>
      <w:spacing w:before="240" w:after="240" w:line="480" w:lineRule="auto"/>
      <w:ind w:firstLine="720"/>
    </w:pPr>
    <w:rPr>
      <w:rFonts w:ascii="Times" w:eastAsia="Times" w:hAnsi="Times" w:cs="Times New Roman"/>
      <w:szCs w:val="20"/>
      <w:lang w:val="en-AU" w:eastAsia="en-AU"/>
    </w:rPr>
  </w:style>
  <w:style w:type="character" w:customStyle="1" w:styleId="Retraitcorpsdetexte2Car">
    <w:name w:val="Retrait corps de texte 2 Car"/>
    <w:basedOn w:val="Policepardfaut"/>
    <w:link w:val="Retraitcorpsdetexte2"/>
    <w:semiHidden/>
    <w:rsid w:val="00252A51"/>
    <w:rPr>
      <w:rFonts w:ascii="Times" w:eastAsia="Times" w:hAnsi="Times" w:cs="Times New Roman"/>
      <w:szCs w:val="20"/>
      <w:lang w:val="en-AU" w:eastAsia="en-AU"/>
    </w:rPr>
  </w:style>
  <w:style w:type="character" w:customStyle="1" w:styleId="xfootnoteitalic">
    <w:name w:val="xfootnote italic"/>
    <w:rsid w:val="00252A51"/>
    <w:rPr>
      <w:i/>
      <w:noProof w:val="0"/>
      <w:lang w:val="en-AU"/>
    </w:rPr>
  </w:style>
  <w:style w:type="paragraph" w:customStyle="1" w:styleId="xfootnote">
    <w:name w:val="xfootnote"/>
    <w:basedOn w:val="Normal"/>
    <w:rsid w:val="00252A51"/>
    <w:pPr>
      <w:widowControl w:val="0"/>
      <w:tabs>
        <w:tab w:val="left" w:pos="425"/>
      </w:tabs>
      <w:autoSpaceDE w:val="0"/>
      <w:autoSpaceDN w:val="0"/>
      <w:adjustRightInd w:val="0"/>
      <w:spacing w:before="14" w:line="190" w:lineRule="atLeast"/>
      <w:ind w:left="283" w:hanging="283"/>
      <w:jc w:val="left"/>
      <w:textAlignment w:val="center"/>
    </w:pPr>
    <w:rPr>
      <w:rFonts w:ascii="Bembo" w:eastAsia="Times New Roman" w:hAnsi="Bembo" w:cs="Times New Roman"/>
      <w:color w:val="000000"/>
      <w:sz w:val="17"/>
      <w:szCs w:val="20"/>
      <w:lang w:val="en-US" w:eastAsia="en-AU"/>
    </w:rPr>
  </w:style>
  <w:style w:type="paragraph" w:styleId="TM1">
    <w:name w:val="toc 1"/>
    <w:basedOn w:val="Normal"/>
    <w:next w:val="Normal"/>
    <w:autoRedefine/>
    <w:uiPriority w:val="39"/>
    <w:unhideWhenUsed/>
    <w:rsid w:val="00252A51"/>
    <w:pPr>
      <w:spacing w:before="120" w:after="100" w:line="360" w:lineRule="auto"/>
    </w:pPr>
    <w:rPr>
      <w:rFonts w:cs="Times New Roman"/>
      <w:color w:val="000000" w:themeColor="text1"/>
      <w:lang w:val="en-GB"/>
    </w:rPr>
  </w:style>
  <w:style w:type="paragraph" w:styleId="TM2">
    <w:name w:val="toc 2"/>
    <w:basedOn w:val="Normal"/>
    <w:next w:val="Normal"/>
    <w:autoRedefine/>
    <w:uiPriority w:val="39"/>
    <w:unhideWhenUsed/>
    <w:rsid w:val="00252A51"/>
    <w:pPr>
      <w:spacing w:before="120" w:after="100" w:line="360" w:lineRule="auto"/>
      <w:ind w:left="240"/>
    </w:pPr>
    <w:rPr>
      <w:rFonts w:cs="Times New Roman"/>
      <w:color w:val="000000" w:themeColor="text1"/>
      <w:lang w:val="en-GB"/>
    </w:rPr>
  </w:style>
  <w:style w:type="paragraph" w:styleId="TM3">
    <w:name w:val="toc 3"/>
    <w:basedOn w:val="Normal"/>
    <w:next w:val="Normal"/>
    <w:autoRedefine/>
    <w:uiPriority w:val="39"/>
    <w:unhideWhenUsed/>
    <w:rsid w:val="00252A51"/>
    <w:pPr>
      <w:spacing w:before="120" w:after="100" w:line="360" w:lineRule="auto"/>
      <w:ind w:left="480"/>
    </w:pPr>
    <w:rPr>
      <w:rFonts w:cs="Times New Roman"/>
      <w:color w:val="000000" w:themeColor="text1"/>
      <w:lang w:val="en-GB"/>
    </w:rPr>
  </w:style>
  <w:style w:type="character" w:customStyle="1" w:styleId="edition">
    <w:name w:val="edition"/>
    <w:basedOn w:val="Policepardfaut"/>
    <w:rsid w:val="00252A51"/>
  </w:style>
  <w:style w:type="paragraph" w:customStyle="1" w:styleId="xparafo">
    <w:name w:val="xpara fo"/>
    <w:basedOn w:val="Normal"/>
    <w:rsid w:val="00252A51"/>
    <w:pPr>
      <w:spacing w:before="120" w:after="200" w:line="276" w:lineRule="auto"/>
      <w:jc w:val="left"/>
    </w:pPr>
    <w:rPr>
      <w:rFonts w:eastAsia="Times New Roman" w:cs="Times New Roman"/>
      <w:szCs w:val="22"/>
      <w:lang w:val="en-AU" w:eastAsia="en-AU"/>
    </w:rPr>
  </w:style>
  <w:style w:type="paragraph" w:customStyle="1" w:styleId="xextracthead">
    <w:name w:val="xextract head"/>
    <w:basedOn w:val="Normal"/>
    <w:rsid w:val="00252A51"/>
    <w:pPr>
      <w:spacing w:before="240" w:after="120" w:line="360" w:lineRule="auto"/>
      <w:jc w:val="center"/>
      <w:outlineLvl w:val="0"/>
    </w:pPr>
    <w:rPr>
      <w:rFonts w:ascii="Arial" w:eastAsia="Times New Roman" w:hAnsi="Arial" w:cs="Times New Roman"/>
      <w:sz w:val="32"/>
      <w:szCs w:val="20"/>
      <w:lang w:val="en-AU" w:eastAsia="en-AU"/>
    </w:rPr>
  </w:style>
  <w:style w:type="paragraph" w:customStyle="1" w:styleId="xextractlist">
    <w:name w:val="xextract list"/>
    <w:basedOn w:val="Normal"/>
    <w:rsid w:val="00252A51"/>
    <w:pPr>
      <w:tabs>
        <w:tab w:val="left" w:pos="720"/>
      </w:tabs>
      <w:spacing w:before="120" w:after="200" w:line="276" w:lineRule="auto"/>
      <w:ind w:left="567" w:hanging="567"/>
      <w:jc w:val="left"/>
    </w:pPr>
    <w:rPr>
      <w:rFonts w:ascii="Arial" w:eastAsia="Times New Roman" w:hAnsi="Arial" w:cs="Times New Roman"/>
      <w:sz w:val="22"/>
      <w:szCs w:val="22"/>
      <w:lang w:val="en-US"/>
    </w:rPr>
  </w:style>
  <w:style w:type="paragraph" w:styleId="PrformatHTML">
    <w:name w:val="HTML Preformatted"/>
    <w:basedOn w:val="Normal"/>
    <w:link w:val="PrformatHTMLCar"/>
    <w:uiPriority w:val="99"/>
    <w:semiHidden/>
    <w:unhideWhenUsed/>
    <w:rsid w:val="00252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left"/>
    </w:pPr>
    <w:rPr>
      <w:rFonts w:ascii="Courier New" w:eastAsia="Times New Roman" w:hAnsi="Courier New" w:cs="Courier New"/>
      <w:sz w:val="20"/>
      <w:szCs w:val="20"/>
      <w:lang w:val="en-AU" w:eastAsia="en-AU"/>
    </w:rPr>
  </w:style>
  <w:style w:type="character" w:customStyle="1" w:styleId="PrformatHTMLCar">
    <w:name w:val="Préformaté HTML Car"/>
    <w:basedOn w:val="Policepardfaut"/>
    <w:link w:val="PrformatHTML"/>
    <w:uiPriority w:val="99"/>
    <w:semiHidden/>
    <w:rsid w:val="00252A51"/>
    <w:rPr>
      <w:rFonts w:ascii="Courier New" w:eastAsia="Times New Roman" w:hAnsi="Courier New" w:cs="Courier New"/>
      <w:sz w:val="20"/>
      <w:szCs w:val="20"/>
      <w:lang w:val="en-AU" w:eastAsia="en-AU"/>
    </w:rPr>
  </w:style>
  <w:style w:type="character" w:customStyle="1" w:styleId="xextractitalic">
    <w:name w:val="xextract italic"/>
    <w:rsid w:val="00252A51"/>
    <w:rPr>
      <w:i/>
    </w:rPr>
  </w:style>
  <w:style w:type="character" w:styleId="Appeldenotedefin">
    <w:name w:val="endnote reference"/>
    <w:rsid w:val="00252A51"/>
    <w:rPr>
      <w:vertAlign w:val="superscript"/>
    </w:rPr>
  </w:style>
  <w:style w:type="paragraph" w:customStyle="1" w:styleId="para">
    <w:name w:val="§para"/>
    <w:basedOn w:val="Normal"/>
    <w:link w:val="paraChar"/>
    <w:autoRedefine/>
    <w:rsid w:val="00252A51"/>
    <w:pPr>
      <w:spacing w:before="120" w:after="120" w:line="480" w:lineRule="auto"/>
      <w:ind w:firstLine="720"/>
      <w:jc w:val="left"/>
    </w:pPr>
    <w:rPr>
      <w:rFonts w:eastAsia="Times New Roman" w:cs="Times New Roman"/>
      <w:lang w:val="en-GB"/>
    </w:rPr>
  </w:style>
  <w:style w:type="paragraph" w:customStyle="1" w:styleId="EN">
    <w:name w:val="§EN"/>
    <w:basedOn w:val="Normal"/>
    <w:autoRedefine/>
    <w:rsid w:val="00252A51"/>
    <w:pPr>
      <w:spacing w:before="120" w:line="360" w:lineRule="auto"/>
      <w:ind w:left="227" w:hanging="227"/>
    </w:pPr>
    <w:rPr>
      <w:rFonts w:eastAsia="Times New Roman" w:cs="Times New Roman"/>
      <w:sz w:val="22"/>
      <w:szCs w:val="20"/>
      <w:lang w:val="en-GB" w:eastAsia="de-DE"/>
    </w:rPr>
  </w:style>
  <w:style w:type="character" w:customStyle="1" w:styleId="paraChar">
    <w:name w:val="§para Char"/>
    <w:link w:val="para"/>
    <w:rsid w:val="00252A51"/>
    <w:rPr>
      <w:rFonts w:ascii="Times New Roman" w:eastAsia="Times New Roman" w:hAnsi="Times New Roman" w:cs="Times New Roman"/>
      <w:lang w:val="en-GB"/>
    </w:rPr>
  </w:style>
  <w:style w:type="paragraph" w:customStyle="1" w:styleId="xextractcitation">
    <w:name w:val="xextract citation"/>
    <w:basedOn w:val="Normal"/>
    <w:rsid w:val="00252A51"/>
    <w:pPr>
      <w:spacing w:before="120" w:after="200" w:line="360" w:lineRule="auto"/>
      <w:jc w:val="center"/>
    </w:pPr>
    <w:rPr>
      <w:rFonts w:ascii="Arial" w:eastAsia="Times New Roman" w:hAnsi="Arial" w:cs="Times New Roman"/>
      <w:sz w:val="20"/>
      <w:szCs w:val="20"/>
      <w:lang w:val="en-AU" w:eastAsia="en-AU"/>
    </w:rPr>
  </w:style>
  <w:style w:type="paragraph" w:customStyle="1" w:styleId="para-no-indent">
    <w:name w:val="§para-no-indent"/>
    <w:basedOn w:val="Normal"/>
    <w:autoRedefine/>
    <w:rsid w:val="00252A51"/>
    <w:pPr>
      <w:spacing w:before="120" w:after="120" w:line="480" w:lineRule="auto"/>
      <w:jc w:val="left"/>
    </w:pPr>
    <w:rPr>
      <w:rFonts w:eastAsia="Times New Roman" w:cs="Times New Roman"/>
      <w:lang w:val="en-GB"/>
    </w:rPr>
  </w:style>
  <w:style w:type="paragraph" w:customStyle="1" w:styleId="xextractfo">
    <w:name w:val="xextract fo"/>
    <w:basedOn w:val="xparafo"/>
    <w:rsid w:val="00252A51"/>
    <w:rPr>
      <w:rFonts w:ascii="Arial" w:hAnsi="Arial"/>
      <w:sz w:val="22"/>
      <w:lang w:val="en-US" w:eastAsia="en-US"/>
    </w:rPr>
  </w:style>
  <w:style w:type="paragraph" w:customStyle="1" w:styleId="xextractsubhead1">
    <w:name w:val="xextract subhead1"/>
    <w:basedOn w:val="Normal"/>
    <w:rsid w:val="00252A51"/>
    <w:pPr>
      <w:spacing w:before="240" w:after="120" w:line="360" w:lineRule="auto"/>
      <w:ind w:right="284"/>
      <w:outlineLvl w:val="1"/>
    </w:pPr>
    <w:rPr>
      <w:rFonts w:ascii="Arial" w:eastAsia="Times New Roman" w:hAnsi="Arial" w:cs="Times New Roman"/>
      <w:sz w:val="28"/>
      <w:lang w:val="en-AU" w:eastAsia="en-AU"/>
    </w:rPr>
  </w:style>
  <w:style w:type="character" w:styleId="Lienhypertextevisit">
    <w:name w:val="FollowedHyperlink"/>
    <w:basedOn w:val="Policepardfaut"/>
    <w:uiPriority w:val="99"/>
    <w:semiHidden/>
    <w:unhideWhenUsed/>
    <w:rsid w:val="00252A51"/>
    <w:rPr>
      <w:color w:val="954F72" w:themeColor="followedHyperlink"/>
      <w:u w:val="single"/>
    </w:rPr>
  </w:style>
  <w:style w:type="table" w:styleId="Grilledutableau">
    <w:name w:val="Table Grid"/>
    <w:basedOn w:val="TableauNormal"/>
    <w:uiPriority w:val="59"/>
    <w:rsid w:val="00252A51"/>
    <w:rPr>
      <w:rFonts w:ascii="Calibri" w:hAnsi="Calibri" w:cs="Times New Roman"/>
      <w:sz w:val="20"/>
      <w:szCs w:val="20"/>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4">
    <w:name w:val="toc 4"/>
    <w:basedOn w:val="Normal"/>
    <w:next w:val="Normal"/>
    <w:autoRedefine/>
    <w:uiPriority w:val="39"/>
    <w:unhideWhenUsed/>
    <w:rsid w:val="00252A51"/>
    <w:pPr>
      <w:spacing w:before="120" w:after="120" w:line="360" w:lineRule="auto"/>
      <w:ind w:left="720"/>
    </w:pPr>
    <w:rPr>
      <w:rFonts w:cs="Times New Roman"/>
      <w:color w:val="000000" w:themeColor="text1"/>
      <w:lang w:val="en-GB"/>
    </w:rPr>
  </w:style>
  <w:style w:type="paragraph" w:styleId="TM5">
    <w:name w:val="toc 5"/>
    <w:basedOn w:val="Normal"/>
    <w:next w:val="Normal"/>
    <w:autoRedefine/>
    <w:uiPriority w:val="39"/>
    <w:unhideWhenUsed/>
    <w:rsid w:val="00252A51"/>
    <w:pPr>
      <w:spacing w:before="120" w:after="120" w:line="360" w:lineRule="auto"/>
      <w:ind w:left="960"/>
    </w:pPr>
    <w:rPr>
      <w:rFonts w:cs="Times New Roman"/>
      <w:color w:val="000000" w:themeColor="text1"/>
      <w:lang w:val="en-GB"/>
    </w:rPr>
  </w:style>
  <w:style w:type="paragraph" w:styleId="TM6">
    <w:name w:val="toc 6"/>
    <w:basedOn w:val="Normal"/>
    <w:next w:val="Normal"/>
    <w:autoRedefine/>
    <w:uiPriority w:val="39"/>
    <w:unhideWhenUsed/>
    <w:rsid w:val="00252A51"/>
    <w:pPr>
      <w:spacing w:before="120" w:after="120" w:line="360" w:lineRule="auto"/>
      <w:ind w:left="1200"/>
    </w:pPr>
    <w:rPr>
      <w:rFonts w:cs="Times New Roman"/>
      <w:color w:val="000000" w:themeColor="text1"/>
      <w:lang w:val="en-GB"/>
    </w:rPr>
  </w:style>
  <w:style w:type="paragraph" w:styleId="TM7">
    <w:name w:val="toc 7"/>
    <w:basedOn w:val="Normal"/>
    <w:next w:val="Normal"/>
    <w:autoRedefine/>
    <w:uiPriority w:val="39"/>
    <w:unhideWhenUsed/>
    <w:rsid w:val="00252A51"/>
    <w:pPr>
      <w:spacing w:before="120" w:after="120" w:line="360" w:lineRule="auto"/>
      <w:ind w:left="1440"/>
    </w:pPr>
    <w:rPr>
      <w:rFonts w:cs="Times New Roman"/>
      <w:color w:val="000000" w:themeColor="text1"/>
      <w:lang w:val="en-GB"/>
    </w:rPr>
  </w:style>
  <w:style w:type="paragraph" w:styleId="TM8">
    <w:name w:val="toc 8"/>
    <w:basedOn w:val="Normal"/>
    <w:next w:val="Normal"/>
    <w:autoRedefine/>
    <w:uiPriority w:val="39"/>
    <w:unhideWhenUsed/>
    <w:rsid w:val="00252A51"/>
    <w:pPr>
      <w:spacing w:before="120" w:after="120" w:line="360" w:lineRule="auto"/>
      <w:ind w:left="1680"/>
    </w:pPr>
    <w:rPr>
      <w:rFonts w:cs="Times New Roman"/>
      <w:color w:val="000000" w:themeColor="text1"/>
      <w:lang w:val="en-GB"/>
    </w:rPr>
  </w:style>
  <w:style w:type="paragraph" w:styleId="TM9">
    <w:name w:val="toc 9"/>
    <w:basedOn w:val="Normal"/>
    <w:next w:val="Normal"/>
    <w:autoRedefine/>
    <w:uiPriority w:val="39"/>
    <w:unhideWhenUsed/>
    <w:rsid w:val="00252A51"/>
    <w:pPr>
      <w:spacing w:before="120" w:after="120" w:line="360" w:lineRule="auto"/>
      <w:ind w:left="1920"/>
    </w:pPr>
    <w:rPr>
      <w:rFonts w:cs="Times New Roman"/>
      <w:color w:val="000000" w:themeColor="text1"/>
      <w:lang w:val="en-GB"/>
    </w:rPr>
  </w:style>
  <w:style w:type="paragraph" w:styleId="Titre">
    <w:name w:val="Title"/>
    <w:basedOn w:val="Normal"/>
    <w:next w:val="Normal"/>
    <w:link w:val="TitreCar"/>
    <w:uiPriority w:val="10"/>
    <w:qFormat/>
    <w:rsid w:val="00212218"/>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12218"/>
    <w:rPr>
      <w:rFonts w:asciiTheme="majorHAnsi" w:eastAsiaTheme="majorEastAsia" w:hAnsiTheme="majorHAnsi" w:cstheme="majorBidi"/>
      <w:spacing w:val="-10"/>
      <w:kern w:val="28"/>
      <w:sz w:val="56"/>
      <w:szCs w:val="56"/>
    </w:rPr>
  </w:style>
  <w:style w:type="character" w:customStyle="1" w:styleId="srch-url2">
    <w:name w:val="srch-url2"/>
    <w:basedOn w:val="Policepardfaut"/>
    <w:rsid w:val="00763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ata.gov.uk" TargetMode="External"/><Relationship Id="rId4" Type="http://schemas.openxmlformats.org/officeDocument/2006/relationships/hyperlink" Target="javascript:authorSearch(%22Micah%20Sifry%22)" TargetMode="External"/><Relationship Id="rId5" Type="http://schemas.openxmlformats.org/officeDocument/2006/relationships/hyperlink" Target="http://portal.unesco.org/ci/en/files/26159/12054862803freedom_information_en.pdf/freedom_information_en.pdf" TargetMode="External"/><Relationship Id="rId1" Type="http://schemas.openxmlformats.org/officeDocument/2006/relationships/hyperlink" Target="http://www.data.gov" TargetMode="External"/><Relationship Id="rId2" Type="http://schemas.openxmlformats.org/officeDocument/2006/relationships/hyperlink" Target="http://www.dat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794204-4D3E-374E-8AB2-66FE835B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5042</Words>
  <Characters>27735</Characters>
  <Application>Microsoft Macintosh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Accountability or participation? Disentangling the rationales for FOI access to deliberative material</vt:lpstr>
    </vt:vector>
  </TitlesOfParts>
  <Company/>
  <LinksUpToDate>false</LinksUpToDate>
  <CharactersWithSpaces>32712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or participation? Disentangling the rationales for FOI access to deliberative material</dc:title>
  <dc:subject/>
  <dc:creator>Utilisateur de Microsoft Office</dc:creator>
  <cp:keywords/>
  <dc:description/>
  <cp:lastModifiedBy>Utilisateur de Microsoft Office</cp:lastModifiedBy>
  <cp:revision>3</cp:revision>
  <dcterms:created xsi:type="dcterms:W3CDTF">2016-03-07T11:40:00Z</dcterms:created>
  <dcterms:modified xsi:type="dcterms:W3CDTF">2016-03-07T11:40:00Z</dcterms:modified>
</cp:coreProperties>
</file>